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811328" w:rsidRDefault="00AB76F0" w:rsidP="00811328">
      <w:pPr>
        <w:jc w:val="center"/>
        <w:rPr>
          <w:b/>
          <w:lang w:val="uk-UA"/>
        </w:rPr>
      </w:pPr>
      <w:proofErr w:type="spellStart"/>
      <w:r w:rsidRPr="00AA49AB">
        <w:rPr>
          <w:b/>
          <w:lang w:val="ru-RU"/>
        </w:rPr>
        <w:t>технічних</w:t>
      </w:r>
      <w:proofErr w:type="spellEnd"/>
      <w:r w:rsidR="001A694F">
        <w:rPr>
          <w:b/>
          <w:lang w:val="ru-RU"/>
        </w:rPr>
        <w:t xml:space="preserve">, </w:t>
      </w:r>
      <w:proofErr w:type="spellStart"/>
      <w:r w:rsidR="001A694F">
        <w:rPr>
          <w:b/>
          <w:lang w:val="ru-RU"/>
        </w:rPr>
        <w:t>кількісних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r w:rsidR="001A694F">
        <w:rPr>
          <w:b/>
          <w:lang w:val="ru-RU"/>
        </w:rPr>
        <w:t xml:space="preserve">предмета </w:t>
      </w:r>
      <w:proofErr w:type="spellStart"/>
      <w:r w:rsidR="001A694F">
        <w:rPr>
          <w:b/>
          <w:lang w:val="ru-RU"/>
        </w:rPr>
        <w:t>закупівлі</w:t>
      </w:r>
      <w:proofErr w:type="spellEnd"/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534C3B" w:rsidRPr="00534C3B">
        <w:rPr>
          <w:rFonts w:eastAsia="Calibri"/>
          <w:b/>
          <w:bCs/>
          <w:color w:val="auto"/>
          <w:lang w:val="uk-UA"/>
        </w:rPr>
        <w:t xml:space="preserve">Послуги з технічного огляду та випробувань (а саме: послуги з технічного огляду та експертного обстеження (технічне діагностування) водогрійних котлів </w:t>
      </w:r>
      <w:proofErr w:type="gramStart"/>
      <w:r w:rsidR="00534C3B" w:rsidRPr="00534C3B">
        <w:rPr>
          <w:rFonts w:eastAsia="Calibri"/>
          <w:b/>
          <w:bCs/>
          <w:color w:val="auto"/>
          <w:lang w:val="uk-UA"/>
        </w:rPr>
        <w:t>в</w:t>
      </w:r>
      <w:proofErr w:type="gramEnd"/>
      <w:r w:rsidR="00534C3B" w:rsidRPr="00534C3B">
        <w:rPr>
          <w:rFonts w:eastAsia="Calibri"/>
          <w:b/>
          <w:bCs/>
          <w:color w:val="auto"/>
          <w:lang w:val="uk-UA"/>
        </w:rPr>
        <w:t xml:space="preserve"> закладах освіти  </w:t>
      </w:r>
      <w:proofErr w:type="spellStart"/>
      <w:r w:rsidR="00534C3B" w:rsidRPr="00534C3B">
        <w:rPr>
          <w:rFonts w:eastAsia="Calibri"/>
          <w:b/>
          <w:bCs/>
          <w:color w:val="auto"/>
          <w:lang w:val="uk-UA"/>
        </w:rPr>
        <w:t>Мозолевської</w:t>
      </w:r>
      <w:proofErr w:type="spellEnd"/>
      <w:r w:rsidR="00534C3B" w:rsidRPr="00534C3B">
        <w:rPr>
          <w:rFonts w:eastAsia="Calibri"/>
          <w:b/>
          <w:bCs/>
          <w:color w:val="auto"/>
          <w:lang w:val="uk-UA"/>
        </w:rPr>
        <w:t xml:space="preserve"> сільської ради Нікопольського району Дніпропетровської області) згідно коду </w:t>
      </w:r>
      <w:r w:rsidR="00534C3B" w:rsidRPr="00534C3B">
        <w:rPr>
          <w:rFonts w:eastAsia="Calibri"/>
          <w:b/>
          <w:bCs/>
          <w:color w:val="auto"/>
        </w:rPr>
        <w:t>CPV</w:t>
      </w:r>
      <w:r w:rsidR="00534C3B" w:rsidRPr="00534C3B">
        <w:rPr>
          <w:rFonts w:eastAsia="Calibri"/>
          <w:b/>
          <w:bCs/>
          <w:color w:val="auto"/>
          <w:lang w:val="uk-UA"/>
        </w:rPr>
        <w:t xml:space="preserve"> за ДК 021:2015 – 71630000-3 Послуги з технічного огляду та випробувань</w:t>
      </w:r>
      <w:r w:rsidRPr="0055545C">
        <w:rPr>
          <w:b/>
          <w:lang w:val="ru-RU"/>
        </w:rPr>
        <w:t xml:space="preserve">, </w:t>
      </w:r>
      <w:proofErr w:type="spellStart"/>
      <w:r w:rsidRPr="00173767">
        <w:rPr>
          <w:b/>
          <w:lang w:val="ru-RU"/>
        </w:rPr>
        <w:t>розміру</w:t>
      </w:r>
      <w:proofErr w:type="spellEnd"/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бюджетного</w:t>
      </w:r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призначення</w:t>
      </w:r>
      <w:proofErr w:type="spellEnd"/>
      <w:r w:rsidRPr="0055545C">
        <w:rPr>
          <w:b/>
          <w:lang w:val="ru-RU"/>
        </w:rPr>
        <w:t xml:space="preserve">, </w:t>
      </w:r>
      <w:proofErr w:type="spellStart"/>
      <w:r w:rsidRPr="00173767">
        <w:rPr>
          <w:b/>
          <w:lang w:val="ru-RU"/>
        </w:rPr>
        <w:t>очікуваної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вартості</w:t>
      </w:r>
      <w:proofErr w:type="spellEnd"/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предмета</w:t>
      </w:r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закупівлі</w:t>
      </w:r>
      <w:proofErr w:type="spellEnd"/>
      <w:r w:rsidRPr="0055545C">
        <w:rPr>
          <w:b/>
          <w:lang w:val="ru-RU"/>
        </w:rPr>
        <w:t xml:space="preserve"> (</w:t>
      </w:r>
      <w:proofErr w:type="spellStart"/>
      <w:r w:rsidRPr="00173767">
        <w:rPr>
          <w:b/>
          <w:lang w:val="ru-RU"/>
        </w:rPr>
        <w:t>оприлюднюється</w:t>
      </w:r>
      <w:proofErr w:type="spellEnd"/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на</w:t>
      </w:r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виконання</w:t>
      </w:r>
      <w:proofErr w:type="spellEnd"/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постанови</w:t>
      </w:r>
      <w:r w:rsidRPr="0055545C">
        <w:rPr>
          <w:b/>
          <w:lang w:val="ru-RU"/>
        </w:rPr>
        <w:t xml:space="preserve"> </w:t>
      </w:r>
      <w:r w:rsidRPr="00173767">
        <w:rPr>
          <w:b/>
          <w:lang w:val="ru-RU"/>
        </w:rPr>
        <w:t>КМУ</w:t>
      </w:r>
      <w:r w:rsidRPr="0055545C">
        <w:rPr>
          <w:b/>
          <w:lang w:val="ru-RU"/>
        </w:rPr>
        <w:t xml:space="preserve"> № 710 </w:t>
      </w:r>
      <w:proofErr w:type="spellStart"/>
      <w:r w:rsidRPr="00173767">
        <w:rPr>
          <w:b/>
          <w:lang w:val="ru-RU"/>
        </w:rPr>
        <w:t>від</w:t>
      </w:r>
      <w:proofErr w:type="spellEnd"/>
      <w:r w:rsidRPr="0055545C">
        <w:rPr>
          <w:b/>
          <w:lang w:val="ru-RU"/>
        </w:rPr>
        <w:t xml:space="preserve"> 11.10.2016 «</w:t>
      </w:r>
      <w:r w:rsidRPr="00173767">
        <w:rPr>
          <w:b/>
          <w:lang w:val="ru-RU"/>
        </w:rPr>
        <w:t>Про</w:t>
      </w:r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ефективне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використання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державних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коштів</w:t>
      </w:r>
      <w:proofErr w:type="spellEnd"/>
      <w:r w:rsidRPr="0055545C">
        <w:rPr>
          <w:b/>
          <w:lang w:val="ru-RU"/>
        </w:rPr>
        <w:t>» (</w:t>
      </w:r>
      <w:proofErr w:type="spellStart"/>
      <w:r w:rsidRPr="00173767">
        <w:rPr>
          <w:b/>
          <w:lang w:val="ru-RU"/>
        </w:rPr>
        <w:t>зі</w:t>
      </w:r>
      <w:proofErr w:type="spellEnd"/>
      <w:r w:rsidRPr="0055545C">
        <w:rPr>
          <w:b/>
          <w:lang w:val="ru-RU"/>
        </w:rPr>
        <w:t xml:space="preserve"> </w:t>
      </w:r>
      <w:proofErr w:type="spellStart"/>
      <w:r w:rsidRPr="00173767">
        <w:rPr>
          <w:b/>
          <w:lang w:val="ru-RU"/>
        </w:rPr>
        <w:t>змінами</w:t>
      </w:r>
      <w:proofErr w:type="spellEnd"/>
      <w:r w:rsidRPr="0055545C">
        <w:rPr>
          <w:b/>
          <w:lang w:val="ru-RU"/>
        </w:rPr>
        <w:t>))</w:t>
      </w:r>
    </w:p>
    <w:p w:rsidR="00AB76F0" w:rsidRPr="00943707" w:rsidRDefault="00AB76F0" w:rsidP="00D35C73">
      <w:pPr>
        <w:spacing w:after="0"/>
        <w:jc w:val="center"/>
        <w:rPr>
          <w:b/>
          <w:lang w:val="uk-UA"/>
        </w:rPr>
      </w:pPr>
    </w:p>
    <w:p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із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зазначенням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коду 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Єдиним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закупівельним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словником (у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разі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поділу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на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такі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відомості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повинні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зазначатися</w:t>
      </w:r>
      <w:bookmarkStart w:id="0" w:name="_GoBack"/>
      <w:bookmarkEnd w:id="0"/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стосовно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кожного лота) 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назви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відповідних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класифікаторів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й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частин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(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) (за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наявності</w:t>
      </w:r>
      <w:proofErr w:type="spellEnd"/>
      <w:r w:rsidR="000A5493" w:rsidRPr="000A5493">
        <w:rPr>
          <w:rFonts w:eastAsia="Times New Roman"/>
          <w:b/>
          <w:color w:val="auto"/>
          <w:sz w:val="22"/>
          <w:szCs w:val="22"/>
          <w:lang w:val="ru-RU"/>
        </w:rPr>
        <w:t>).</w:t>
      </w:r>
      <w:r w:rsidRPr="000A5493">
        <w:rPr>
          <w:rFonts w:eastAsia="Times New Roman"/>
          <w:b/>
          <w:color w:val="auto"/>
          <w:sz w:val="22"/>
          <w:szCs w:val="22"/>
        </w:rPr>
        <w:t> </w:t>
      </w:r>
    </w:p>
    <w:p w:rsidR="000A5493" w:rsidRPr="00935F93" w:rsidRDefault="00534C3B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534C3B">
        <w:rPr>
          <w:rFonts w:eastAsia="Calibri"/>
          <w:bCs/>
          <w:lang w:val="uk-UA"/>
        </w:rPr>
        <w:t xml:space="preserve">Послуги з технічного огляду та випробувань (а саме: послуги з технічного огляду та експертного </w:t>
      </w:r>
      <w:r w:rsidRPr="00935F93">
        <w:rPr>
          <w:rFonts w:eastAsia="Calibri"/>
          <w:bCs/>
          <w:lang w:val="uk-UA"/>
        </w:rPr>
        <w:t xml:space="preserve">обстеження (технічне діагностування) водогрійних котлів в закладах освіти  </w:t>
      </w:r>
      <w:proofErr w:type="spellStart"/>
      <w:r w:rsidRPr="00935F93">
        <w:rPr>
          <w:rFonts w:eastAsia="Calibri"/>
          <w:bCs/>
          <w:lang w:val="uk-UA"/>
        </w:rPr>
        <w:t>Мозолевської</w:t>
      </w:r>
      <w:proofErr w:type="spellEnd"/>
      <w:r w:rsidRPr="00935F93">
        <w:rPr>
          <w:rFonts w:eastAsia="Calibri"/>
          <w:bCs/>
          <w:lang w:val="uk-UA"/>
        </w:rPr>
        <w:t xml:space="preserve"> сільської ради Нікопольського району Дніпропетровської області) згідно коду CPV за ДК 021:2015 – 71630000-3 Послуги з технічного огляду та випробувань</w:t>
      </w:r>
      <w:r w:rsidR="00AC4A34" w:rsidRPr="00935F93">
        <w:rPr>
          <w:rFonts w:eastAsia="Times New Roman"/>
          <w:bCs/>
          <w:color w:val="auto"/>
          <w:sz w:val="22"/>
          <w:szCs w:val="22"/>
          <w:lang w:val="uk-UA"/>
        </w:rPr>
        <w:t>.</w:t>
      </w:r>
    </w:p>
    <w:p w:rsidR="00CF54D1" w:rsidRPr="00935F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proofErr w:type="spellStart"/>
      <w:r w:rsidRPr="00935F93">
        <w:rPr>
          <w:rFonts w:eastAsia="Times New Roman"/>
          <w:b/>
          <w:color w:val="auto"/>
          <w:sz w:val="22"/>
          <w:szCs w:val="22"/>
          <w:lang w:val="ru-RU"/>
        </w:rPr>
        <w:t>Деталізований</w:t>
      </w:r>
      <w:proofErr w:type="spellEnd"/>
      <w:r w:rsidRPr="00935F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Pr="00935F93">
        <w:rPr>
          <w:rFonts w:eastAsia="Times New Roman"/>
          <w:b/>
          <w:color w:val="auto"/>
          <w:sz w:val="22"/>
          <w:szCs w:val="22"/>
        </w:rPr>
        <w:t>CPV</w:t>
      </w:r>
      <w:r w:rsidRPr="00935F93">
        <w:rPr>
          <w:rFonts w:eastAsia="Times New Roman"/>
          <w:b/>
          <w:color w:val="auto"/>
          <w:sz w:val="22"/>
          <w:szCs w:val="22"/>
          <w:lang w:val="ru-RU"/>
        </w:rPr>
        <w:t xml:space="preserve"> код (у </w:t>
      </w:r>
      <w:proofErr w:type="spellStart"/>
      <w:r w:rsidRPr="00935F93">
        <w:rPr>
          <w:rFonts w:eastAsia="Times New Roman"/>
          <w:b/>
          <w:color w:val="auto"/>
          <w:sz w:val="22"/>
          <w:szCs w:val="22"/>
          <w:lang w:val="ru-RU"/>
        </w:rPr>
        <w:t>т.ч</w:t>
      </w:r>
      <w:proofErr w:type="spellEnd"/>
      <w:r w:rsidRPr="00935F93">
        <w:rPr>
          <w:rFonts w:eastAsia="Times New Roman"/>
          <w:b/>
          <w:color w:val="auto"/>
          <w:sz w:val="22"/>
          <w:szCs w:val="22"/>
          <w:lang w:val="ru-RU"/>
        </w:rPr>
        <w:t xml:space="preserve">. для </w:t>
      </w:r>
      <w:proofErr w:type="spellStart"/>
      <w:r w:rsidRPr="00935F93">
        <w:rPr>
          <w:rFonts w:eastAsia="Times New Roman"/>
          <w:b/>
          <w:color w:val="auto"/>
          <w:sz w:val="22"/>
          <w:szCs w:val="22"/>
          <w:lang w:val="ru-RU"/>
        </w:rPr>
        <w:t>лотів</w:t>
      </w:r>
      <w:proofErr w:type="spellEnd"/>
      <w:r w:rsidRPr="00935F93">
        <w:rPr>
          <w:rFonts w:eastAsia="Times New Roman"/>
          <w:b/>
          <w:color w:val="auto"/>
          <w:sz w:val="22"/>
          <w:szCs w:val="22"/>
          <w:lang w:val="ru-RU"/>
        </w:rPr>
        <w:t xml:space="preserve">) та </w:t>
      </w:r>
      <w:proofErr w:type="spellStart"/>
      <w:r w:rsidRPr="00935F93">
        <w:rPr>
          <w:rFonts w:eastAsia="Times New Roman"/>
          <w:b/>
          <w:color w:val="auto"/>
          <w:sz w:val="22"/>
          <w:szCs w:val="22"/>
          <w:lang w:val="ru-RU"/>
        </w:rPr>
        <w:t>його</w:t>
      </w:r>
      <w:proofErr w:type="spellEnd"/>
      <w:r w:rsidRPr="00935F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935F93">
        <w:rPr>
          <w:rFonts w:eastAsia="Times New Roman"/>
          <w:b/>
          <w:color w:val="auto"/>
          <w:sz w:val="22"/>
          <w:szCs w:val="22"/>
          <w:lang w:val="ru-RU"/>
        </w:rPr>
        <w:t>назва</w:t>
      </w:r>
      <w:proofErr w:type="spellEnd"/>
      <w:r w:rsidRPr="00935F93">
        <w:rPr>
          <w:rFonts w:eastAsia="Times New Roman"/>
          <w:b/>
          <w:color w:val="auto"/>
          <w:sz w:val="22"/>
          <w:szCs w:val="22"/>
          <w:lang w:val="ru-RU"/>
        </w:rPr>
        <w:t xml:space="preserve"> ДК 021:2015</w:t>
      </w:r>
      <w:r w:rsidRPr="00935F93">
        <w:rPr>
          <w:rFonts w:eastAsia="Times New Roman"/>
          <w:color w:val="auto"/>
          <w:sz w:val="22"/>
          <w:szCs w:val="22"/>
          <w:lang w:val="ru-RU"/>
        </w:rPr>
        <w:t xml:space="preserve"> –</w:t>
      </w:r>
      <w:r w:rsidR="00642084" w:rsidRPr="00935F93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CA2BFC" w:rsidRPr="00935F93">
        <w:rPr>
          <w:rFonts w:eastAsia="Times New Roman"/>
          <w:bCs/>
          <w:color w:val="auto"/>
          <w:sz w:val="22"/>
          <w:szCs w:val="22"/>
          <w:lang w:val="uk-UA"/>
        </w:rPr>
        <w:t>716310</w:t>
      </w:r>
      <w:r w:rsidR="001A694F" w:rsidRPr="00935F93">
        <w:rPr>
          <w:rFonts w:eastAsia="Times New Roman"/>
          <w:bCs/>
          <w:color w:val="auto"/>
          <w:sz w:val="22"/>
          <w:szCs w:val="22"/>
          <w:lang w:val="uk-UA"/>
        </w:rPr>
        <w:t>00-</w:t>
      </w:r>
      <w:r w:rsidR="00CA2BFC" w:rsidRPr="00935F93">
        <w:rPr>
          <w:rFonts w:eastAsia="Times New Roman"/>
          <w:bCs/>
          <w:color w:val="auto"/>
          <w:sz w:val="22"/>
          <w:szCs w:val="22"/>
          <w:lang w:val="ru-RU"/>
        </w:rPr>
        <w:t>0</w:t>
      </w:r>
      <w:r w:rsidR="00AC4A34" w:rsidRPr="00935F93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r w:rsidR="00AC4A34" w:rsidRPr="00935F93">
        <w:rPr>
          <w:rFonts w:eastAsia="Times New Roman"/>
          <w:color w:val="auto"/>
          <w:sz w:val="22"/>
          <w:szCs w:val="22"/>
          <w:lang w:val="ru-RU"/>
        </w:rPr>
        <w:t>–</w:t>
      </w:r>
      <w:r w:rsidR="00C3150C" w:rsidRPr="00935F93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A2BFC" w:rsidRPr="00935F93">
        <w:rPr>
          <w:rFonts w:eastAsia="Times New Roman"/>
          <w:color w:val="auto"/>
          <w:sz w:val="22"/>
          <w:szCs w:val="22"/>
          <w:lang w:val="ru-RU"/>
        </w:rPr>
        <w:t>Послуги</w:t>
      </w:r>
      <w:proofErr w:type="spellEnd"/>
      <w:r w:rsidR="00CA2BFC" w:rsidRPr="00935F93">
        <w:rPr>
          <w:rFonts w:eastAsia="Times New Roman"/>
          <w:color w:val="auto"/>
          <w:sz w:val="22"/>
          <w:szCs w:val="22"/>
          <w:lang w:val="ru-RU"/>
        </w:rPr>
        <w:t xml:space="preserve"> з </w:t>
      </w:r>
      <w:proofErr w:type="spellStart"/>
      <w:proofErr w:type="gramStart"/>
      <w:r w:rsidR="00CA2BFC" w:rsidRPr="00935F93">
        <w:rPr>
          <w:rFonts w:eastAsia="Times New Roman"/>
          <w:color w:val="auto"/>
          <w:sz w:val="22"/>
          <w:szCs w:val="22"/>
          <w:lang w:val="ru-RU"/>
        </w:rPr>
        <w:t>техн</w:t>
      </w:r>
      <w:proofErr w:type="gramEnd"/>
      <w:r w:rsidR="00CA2BFC" w:rsidRPr="00935F93">
        <w:rPr>
          <w:rFonts w:eastAsia="Times New Roman"/>
          <w:color w:val="auto"/>
          <w:sz w:val="22"/>
          <w:szCs w:val="22"/>
          <w:lang w:val="ru-RU"/>
        </w:rPr>
        <w:t>ічного</w:t>
      </w:r>
      <w:proofErr w:type="spellEnd"/>
      <w:r w:rsidR="00CA2BFC" w:rsidRPr="00935F93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CA2BFC" w:rsidRPr="00935F93">
        <w:rPr>
          <w:rFonts w:eastAsia="Times New Roman"/>
          <w:color w:val="auto"/>
          <w:sz w:val="22"/>
          <w:szCs w:val="22"/>
          <w:lang w:val="ru-RU"/>
        </w:rPr>
        <w:t>огляду</w:t>
      </w:r>
      <w:proofErr w:type="spellEnd"/>
      <w:r w:rsidRPr="00935F93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Pr="00935F93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</w:p>
    <w:p w:rsidR="00173767" w:rsidRPr="000742D9" w:rsidRDefault="00173767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935F93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935F93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935F93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935F93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935F93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935F93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935F93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proofErr w:type="gramStart"/>
      <w:r w:rsidR="00935F93" w:rsidRPr="00935F93">
        <w:rPr>
          <w:color w:val="auto"/>
          <w:sz w:val="22"/>
          <w:szCs w:val="22"/>
          <w:shd w:val="clear" w:color="auto" w:fill="FFFFFF"/>
        </w:rPr>
        <w:t>UA</w:t>
      </w:r>
      <w:r w:rsidR="00935F93" w:rsidRPr="00935F93">
        <w:rPr>
          <w:color w:val="auto"/>
          <w:sz w:val="22"/>
          <w:szCs w:val="22"/>
          <w:shd w:val="clear" w:color="auto" w:fill="FFFFFF"/>
          <w:lang w:val="ru-RU"/>
        </w:rPr>
        <w:t>-2025-07-11-001519-</w:t>
      </w:r>
      <w:r w:rsidR="00935F93" w:rsidRPr="00935F93">
        <w:rPr>
          <w:color w:val="auto"/>
          <w:sz w:val="22"/>
          <w:szCs w:val="22"/>
          <w:shd w:val="clear" w:color="auto" w:fill="FFFFFF"/>
        </w:rPr>
        <w:t>a</w:t>
      </w:r>
      <w:r w:rsidR="00F228C6" w:rsidRPr="00935F93">
        <w:rPr>
          <w:rFonts w:eastAsia="Times New Roman"/>
          <w:color w:val="auto"/>
          <w:sz w:val="22"/>
          <w:szCs w:val="22"/>
          <w:lang w:val="ru-RU"/>
        </w:rPr>
        <w:t>.</w:t>
      </w:r>
      <w:proofErr w:type="gramEnd"/>
    </w:p>
    <w:p w:rsidR="00D35C73" w:rsidRPr="00115087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A5493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="000A5493">
        <w:rPr>
          <w:rFonts w:eastAsia="Times New Roman"/>
          <w:b/>
          <w:bCs/>
          <w:color w:val="auto"/>
          <w:sz w:val="22"/>
          <w:szCs w:val="22"/>
          <w:lang w:val="ru-RU"/>
        </w:rPr>
        <w:t>.</w:t>
      </w:r>
    </w:p>
    <w:p w:rsidR="00CF54D1" w:rsidRPr="00115087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В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ідкри</w:t>
      </w:r>
      <w:r w:rsidR="001655A5">
        <w:rPr>
          <w:rFonts w:eastAsia="Times New Roman"/>
          <w:color w:val="auto"/>
          <w:sz w:val="22"/>
          <w:szCs w:val="22"/>
          <w:lang w:val="ru-RU"/>
        </w:rPr>
        <w:t>ті</w:t>
      </w:r>
      <w:proofErr w:type="spellEnd"/>
      <w:r w:rsidR="001655A5">
        <w:rPr>
          <w:rFonts w:eastAsia="Times New Roman"/>
          <w:color w:val="auto"/>
          <w:sz w:val="22"/>
          <w:szCs w:val="22"/>
          <w:lang w:val="ru-RU"/>
        </w:rPr>
        <w:t xml:space="preserve"> торги у порядку </w:t>
      </w:r>
      <w:proofErr w:type="spellStart"/>
      <w:r w:rsidR="001655A5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>
        <w:rPr>
          <w:rFonts w:eastAsia="Times New Roman"/>
          <w:color w:val="auto"/>
          <w:sz w:val="22"/>
          <w:szCs w:val="22"/>
          <w:lang w:val="ru-RU"/>
        </w:rPr>
        <w:t>П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остановою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Міні</w:t>
      </w:r>
      <w:proofErr w:type="gram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стр</w:t>
      </w:r>
      <w:proofErr w:type="gram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CF54D1" w:rsidRPr="00115087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).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:rsidR="0093228E" w:rsidRPr="00115087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0A5493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CF54D1" w:rsidRPr="00115087" w:rsidRDefault="00393A94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393A94">
        <w:rPr>
          <w:rFonts w:eastAsia="Times New Roman"/>
          <w:bCs/>
          <w:color w:val="auto"/>
          <w:sz w:val="22"/>
          <w:szCs w:val="22"/>
          <w:lang w:val="ru-RU"/>
        </w:rPr>
        <w:t xml:space="preserve">44 258,00 грн. (Сорок </w:t>
      </w:r>
      <w:proofErr w:type="spellStart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>чотири</w:t>
      </w:r>
      <w:proofErr w:type="spellEnd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>тисячі</w:t>
      </w:r>
      <w:proofErr w:type="spellEnd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>дві</w:t>
      </w:r>
      <w:proofErr w:type="gramStart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>ст</w:t>
      </w:r>
      <w:proofErr w:type="gramEnd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>і</w:t>
      </w:r>
      <w:proofErr w:type="spellEnd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>п’ятдесят</w:t>
      </w:r>
      <w:proofErr w:type="spellEnd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>вісім</w:t>
      </w:r>
      <w:proofErr w:type="spellEnd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>гривень</w:t>
      </w:r>
      <w:proofErr w:type="spellEnd"/>
      <w:r w:rsidRPr="00393A94">
        <w:rPr>
          <w:rFonts w:eastAsia="Times New Roman"/>
          <w:bCs/>
          <w:color w:val="auto"/>
          <w:sz w:val="22"/>
          <w:szCs w:val="22"/>
          <w:lang w:val="ru-RU"/>
        </w:rPr>
        <w:t xml:space="preserve"> 00 коп.), з ПДВ</w:t>
      </w:r>
      <w:r w:rsidR="0093228E" w:rsidRPr="00393A94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417478" w:rsidRDefault="001A694F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вартість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</w:t>
      </w:r>
      <w:proofErr w:type="gramStart"/>
      <w:r w:rsidRPr="001A694F">
        <w:rPr>
          <w:rFonts w:eastAsia="Times New Roman"/>
          <w:color w:val="auto"/>
          <w:sz w:val="22"/>
          <w:szCs w:val="22"/>
          <w:lang w:val="ru-RU"/>
        </w:rPr>
        <w:t>вл</w:t>
      </w:r>
      <w:proofErr w:type="gramEnd"/>
      <w:r w:rsidRPr="001A694F">
        <w:rPr>
          <w:rFonts w:eastAsia="Times New Roman"/>
          <w:color w:val="auto"/>
          <w:sz w:val="22"/>
          <w:szCs w:val="22"/>
          <w:lang w:val="ru-RU"/>
        </w:rPr>
        <w:t>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розміру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бюджетного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розраховано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підставі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наданих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комерційних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пропоз</w:t>
      </w:r>
      <w:r w:rsidR="00C833F8">
        <w:rPr>
          <w:rFonts w:eastAsia="Times New Roman"/>
          <w:color w:val="auto"/>
          <w:sz w:val="22"/>
          <w:szCs w:val="22"/>
          <w:lang w:val="ru-RU"/>
        </w:rPr>
        <w:t>ицій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шляхом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виведення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середньої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підставі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Наказу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Міністерства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розвитку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економіки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торгівлі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сільського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господарства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18.02.2020 № 275 «Про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примірної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методики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».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Відповідно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до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вищезазначеного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Наказу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Замовник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1A694F">
        <w:rPr>
          <w:rFonts w:eastAsia="Times New Roman"/>
          <w:color w:val="auto"/>
          <w:sz w:val="22"/>
          <w:szCs w:val="22"/>
          <w:lang w:val="ru-RU"/>
        </w:rPr>
        <w:t>п</w:t>
      </w:r>
      <w:proofErr w:type="gramEnd"/>
      <w:r w:rsidRPr="001A694F">
        <w:rPr>
          <w:rFonts w:eastAsia="Times New Roman"/>
          <w:color w:val="auto"/>
          <w:sz w:val="22"/>
          <w:szCs w:val="22"/>
          <w:lang w:val="ru-RU"/>
        </w:rPr>
        <w:t>ід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час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може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використати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декілька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методів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її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розрахунку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одним з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яких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є Метод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порівняння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ринкових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цін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. Даний метод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полягає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в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ціновому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аналізі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зборі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актуальної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інформації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з ринку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послу</w:t>
      </w:r>
      <w:r>
        <w:rPr>
          <w:rFonts w:eastAsia="Times New Roman"/>
          <w:color w:val="auto"/>
          <w:sz w:val="22"/>
          <w:szCs w:val="22"/>
          <w:lang w:val="ru-RU"/>
        </w:rPr>
        <w:t>г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направленні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запитів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комерційних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пропозицій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до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компаній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виробників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постачальників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1A694F">
        <w:rPr>
          <w:rFonts w:eastAsia="Times New Roman"/>
          <w:color w:val="auto"/>
          <w:sz w:val="22"/>
          <w:szCs w:val="22"/>
          <w:lang w:val="ru-RU"/>
        </w:rPr>
        <w:t>в</w:t>
      </w:r>
      <w:proofErr w:type="gramEnd"/>
      <w:r w:rsidRPr="001A694F">
        <w:rPr>
          <w:rFonts w:eastAsia="Times New Roman"/>
          <w:color w:val="auto"/>
          <w:sz w:val="22"/>
          <w:szCs w:val="22"/>
          <w:lang w:val="ru-RU"/>
        </w:rPr>
        <w:t>ідповідних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(не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менше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3-х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письмо</w:t>
      </w:r>
      <w:r>
        <w:rPr>
          <w:rFonts w:eastAsia="Times New Roman"/>
          <w:color w:val="auto"/>
          <w:sz w:val="22"/>
          <w:szCs w:val="22"/>
          <w:lang w:val="ru-RU"/>
        </w:rPr>
        <w:t>вих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запитів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цінових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пропозицій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>)</w:t>
      </w:r>
      <w:r w:rsidR="00C76BE8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0A5493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sz w:val="22"/>
          <w:szCs w:val="22"/>
          <w:lang w:val="uk-UA"/>
        </w:rPr>
      </w:pPr>
      <w:r w:rsidRPr="00417478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A5493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>.</w:t>
      </w:r>
    </w:p>
    <w:p w:rsidR="00CF54D1" w:rsidRPr="00417478" w:rsidRDefault="00417478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потреби у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послузі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та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затвердженого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кошторису Виконавчого комітету </w:t>
      </w:r>
      <w:proofErr w:type="spellStart"/>
      <w:r w:rsidR="00534C3B">
        <w:rPr>
          <w:rFonts w:eastAsia="Times New Roman"/>
          <w:bCs/>
          <w:color w:val="auto"/>
          <w:sz w:val="22"/>
          <w:szCs w:val="22"/>
          <w:lang w:val="uk-UA"/>
        </w:rPr>
        <w:t>Мозолевської</w:t>
      </w:r>
      <w:proofErr w:type="spellEnd"/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сільської ради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 Нікопольського району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Дніпропетровської області 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на </w:t>
      </w:r>
      <w:r w:rsidRPr="00F1664C">
        <w:rPr>
          <w:rFonts w:eastAsia="Times New Roman"/>
          <w:bCs/>
          <w:color w:val="auto"/>
          <w:sz w:val="22"/>
          <w:szCs w:val="22"/>
          <w:lang w:val="uk-UA"/>
        </w:rPr>
        <w:t>202</w:t>
      </w:r>
      <w:r w:rsidR="00534C3B">
        <w:rPr>
          <w:rFonts w:eastAsia="Times New Roman"/>
          <w:bCs/>
          <w:color w:val="auto"/>
          <w:sz w:val="22"/>
          <w:szCs w:val="22"/>
          <w:lang w:val="uk-UA"/>
        </w:rPr>
        <w:t>5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рік.</w:t>
      </w:r>
    </w:p>
    <w:p w:rsidR="000A5493" w:rsidRDefault="000A5493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534C3B" w:rsidRDefault="00534C3B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534C3B" w:rsidRDefault="00534C3B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534C3B" w:rsidRDefault="00534C3B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534C3B" w:rsidRDefault="00534C3B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A04035" w:rsidRDefault="0006144E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r w:rsidRPr="000A5493">
        <w:rPr>
          <w:rFonts w:eastAsia="Times New Roman"/>
          <w:b/>
          <w:color w:val="auto"/>
          <w:sz w:val="22"/>
          <w:szCs w:val="22"/>
          <w:lang w:val="uk-UA"/>
        </w:rPr>
        <w:lastRenderedPageBreak/>
        <w:t xml:space="preserve">Якісні, </w:t>
      </w:r>
      <w:r w:rsidR="002E48E6" w:rsidRPr="000A5493">
        <w:rPr>
          <w:rFonts w:eastAsia="Times New Roman"/>
          <w:b/>
          <w:color w:val="auto"/>
          <w:sz w:val="22"/>
          <w:szCs w:val="22"/>
          <w:lang w:val="uk-UA"/>
        </w:rPr>
        <w:t>к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>ількісн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і та технічні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характеристик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и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предмета закупівлі</w:t>
      </w:r>
      <w:r w:rsidR="000A5493" w:rsidRPr="000A5493">
        <w:rPr>
          <w:rFonts w:eastAsia="Times New Roman"/>
          <w:b/>
          <w:color w:val="auto"/>
          <w:sz w:val="22"/>
          <w:szCs w:val="22"/>
          <w:lang w:val="uk-UA"/>
        </w:rPr>
        <w:t>.</w:t>
      </w:r>
      <w:r w:rsidR="00A04035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</w:t>
      </w:r>
    </w:p>
    <w:p w:rsidR="00534C3B" w:rsidRPr="000A5493" w:rsidRDefault="00534C3B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</w:p>
    <w:p w:rsidR="00534C3B" w:rsidRPr="00534C3B" w:rsidRDefault="00534C3B" w:rsidP="00534C3B">
      <w:pPr>
        <w:spacing w:after="0" w:line="240" w:lineRule="auto"/>
        <w:jc w:val="both"/>
        <w:rPr>
          <w:rFonts w:eastAsia="Times New Roman"/>
          <w:lang w:val="uk-UA" w:eastAsia="uk-UA" w:bidi="uk-UA"/>
        </w:rPr>
      </w:pPr>
      <w:r w:rsidRPr="00534C3B">
        <w:rPr>
          <w:rFonts w:eastAsia="Times New Roman"/>
          <w:b/>
          <w:color w:val="auto"/>
          <w:lang w:val="uk-UA" w:eastAsia="uk-UA" w:bidi="uk-UA"/>
        </w:rPr>
        <w:t xml:space="preserve">Місце надання послуг - </w:t>
      </w:r>
      <w:r w:rsidRPr="00534C3B">
        <w:rPr>
          <w:rFonts w:eastAsia="Times New Roman"/>
          <w:color w:val="auto"/>
          <w:lang w:val="uk-UA" w:eastAsia="uk-UA" w:bidi="uk-UA"/>
        </w:rPr>
        <w:t xml:space="preserve">  </w:t>
      </w:r>
      <w:r w:rsidRPr="00534C3B">
        <w:rPr>
          <w:rFonts w:eastAsia="Times New Roman"/>
          <w:lang w:val="uk-UA" w:eastAsia="uk-UA" w:bidi="uk-UA"/>
        </w:rPr>
        <w:t>за  місцезнаходженням обладнання Замовника:</w:t>
      </w:r>
      <w:r w:rsidRPr="00534C3B">
        <w:rPr>
          <w:rFonts w:eastAsia="Times New Roman"/>
          <w:color w:val="auto"/>
          <w:lang w:val="uk-UA" w:eastAsia="uk-UA" w:bidi="uk-UA"/>
        </w:rPr>
        <w:t xml:space="preserve"> </w:t>
      </w:r>
    </w:p>
    <w:p w:rsidR="00534C3B" w:rsidRPr="00534C3B" w:rsidRDefault="00534C3B" w:rsidP="00534C3B">
      <w:pPr>
        <w:spacing w:after="0" w:line="240" w:lineRule="auto"/>
        <w:jc w:val="both"/>
        <w:rPr>
          <w:rFonts w:eastAsia="Times New Roman"/>
          <w:color w:val="auto"/>
          <w:lang w:val="uk-UA" w:eastAsia="uk-UA" w:bidi="uk-UA"/>
        </w:rPr>
      </w:pPr>
    </w:p>
    <w:tbl>
      <w:tblPr>
        <w:tblpPr w:leftFromText="181" w:rightFromText="181" w:vertAnchor="text" w:horzAnchor="margin" w:tblpX="-548" w:tblpY="8"/>
        <w:tblW w:w="55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"/>
        <w:gridCol w:w="1386"/>
        <w:gridCol w:w="1893"/>
        <w:gridCol w:w="2080"/>
        <w:gridCol w:w="1248"/>
        <w:gridCol w:w="807"/>
        <w:gridCol w:w="552"/>
        <w:gridCol w:w="723"/>
        <w:gridCol w:w="1707"/>
      </w:tblGrid>
      <w:tr w:rsidR="00534C3B" w:rsidRPr="00935F93" w:rsidTr="00886AFA">
        <w:trPr>
          <w:trHeight w:hRule="exact" w:val="1428"/>
        </w:trPr>
        <w:tc>
          <w:tcPr>
            <w:tcW w:w="179" w:type="pct"/>
            <w:shd w:val="clear" w:color="auto" w:fill="FFFFFF"/>
          </w:tcPr>
          <w:p w:rsidR="00534C3B" w:rsidRPr="00534C3B" w:rsidRDefault="00534C3B" w:rsidP="00534C3B">
            <w:pPr>
              <w:widowControl w:val="0"/>
              <w:spacing w:after="60" w:line="240" w:lineRule="auto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>№</w:t>
            </w:r>
          </w:p>
          <w:p w:rsidR="00534C3B" w:rsidRPr="00534C3B" w:rsidRDefault="00534C3B" w:rsidP="00534C3B">
            <w:pPr>
              <w:widowControl w:val="0"/>
              <w:spacing w:after="60" w:line="240" w:lineRule="auto"/>
              <w:rPr>
                <w:rFonts w:eastAsia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>з/п</w:t>
            </w:r>
          </w:p>
        </w:tc>
        <w:tc>
          <w:tcPr>
            <w:tcW w:w="669" w:type="pct"/>
            <w:shd w:val="clear" w:color="auto" w:fill="FFFFFF"/>
          </w:tcPr>
          <w:p w:rsidR="00534C3B" w:rsidRPr="00534C3B" w:rsidRDefault="00534C3B" w:rsidP="00534C3B">
            <w:pPr>
              <w:widowControl w:val="0"/>
              <w:spacing w:after="60" w:line="240" w:lineRule="auto"/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>Назва закладу</w:t>
            </w:r>
          </w:p>
        </w:tc>
        <w:tc>
          <w:tcPr>
            <w:tcW w:w="910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Місцезнаходження обладнання</w:t>
            </w:r>
          </w:p>
        </w:tc>
        <w:tc>
          <w:tcPr>
            <w:tcW w:w="995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 xml:space="preserve"> Надання послуги</w:t>
            </w:r>
          </w:p>
        </w:tc>
        <w:tc>
          <w:tcPr>
            <w:tcW w:w="607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>Тип котла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305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 xml:space="preserve">Рік </w:t>
            </w:r>
            <w:proofErr w:type="spellStart"/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>виробниц</w:t>
            </w:r>
            <w:proofErr w:type="spellEnd"/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305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 xml:space="preserve">Завод, </w:t>
            </w:r>
            <w:proofErr w:type="spellStart"/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>інвент</w:t>
            </w:r>
            <w:proofErr w:type="spellEnd"/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>. №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4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>Регістр.</w:t>
            </w:r>
          </w:p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bCs/>
                <w:sz w:val="18"/>
                <w:szCs w:val="18"/>
                <w:lang w:val="uk-UA" w:eastAsia="uk-UA" w:bidi="uk-UA"/>
              </w:rPr>
              <w:t>№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eastAsia="Arial Unicode MS"/>
                <w:sz w:val="18"/>
                <w:szCs w:val="18"/>
                <w:lang w:val="uk-UA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34C3B">
              <w:rPr>
                <w:rFonts w:eastAsia="Arial Unicode MS"/>
                <w:sz w:val="18"/>
                <w:szCs w:val="18"/>
                <w:lang w:val="uk-UA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Технічні характеристики (тиск, температура, об’єм, робоче середовище)</w:t>
            </w:r>
          </w:p>
        </w:tc>
      </w:tr>
      <w:tr w:rsidR="00534C3B" w:rsidRPr="00935F93" w:rsidTr="00886AFA">
        <w:trPr>
          <w:trHeight w:hRule="exact" w:val="2412"/>
        </w:trPr>
        <w:tc>
          <w:tcPr>
            <w:tcW w:w="179" w:type="pct"/>
            <w:vMerge w:val="restart"/>
            <w:shd w:val="clear" w:color="auto" w:fill="FFFFFF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669" w:type="pct"/>
            <w:vMerge w:val="restart"/>
            <w:shd w:val="clear" w:color="auto" w:fill="FFFFFF"/>
          </w:tcPr>
          <w:p w:rsidR="00534C3B" w:rsidRPr="00534C3B" w:rsidRDefault="00534C3B" w:rsidP="00534C3B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</w:pPr>
            <w:r w:rsidRPr="00534C3B"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>Південна гімназія</w:t>
            </w:r>
          </w:p>
          <w:p w:rsidR="00534C3B" w:rsidRPr="00534C3B" w:rsidRDefault="00534C3B" w:rsidP="00534C3B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</w:pPr>
            <w:proofErr w:type="spellStart"/>
            <w:r w:rsidRPr="00534C3B"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>Волянського</w:t>
            </w:r>
            <w:proofErr w:type="spellEnd"/>
            <w:r w:rsidRPr="00534C3B"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 xml:space="preserve"> опорного ліцею </w:t>
            </w:r>
          </w:p>
          <w:p w:rsidR="00534C3B" w:rsidRPr="00534C3B" w:rsidRDefault="00534C3B" w:rsidP="00534C3B">
            <w:pPr>
              <w:spacing w:after="0" w:line="240" w:lineRule="auto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proofErr w:type="spellStart"/>
            <w:r w:rsidRPr="00534C3B"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>Мозолевської</w:t>
            </w:r>
            <w:proofErr w:type="spellEnd"/>
            <w:r w:rsidRPr="00534C3B"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 xml:space="preserve"> сільської  ради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534C3B" w:rsidRPr="00534C3B" w:rsidRDefault="00534C3B" w:rsidP="00534C3B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</w:pPr>
            <w:r w:rsidRPr="00534C3B"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 xml:space="preserve">53265, Дніпропетровська обл., Нікопольський р-н, </w:t>
            </w:r>
          </w:p>
          <w:p w:rsidR="00534C3B" w:rsidRPr="00534C3B" w:rsidRDefault="00534C3B" w:rsidP="00534C3B">
            <w:pPr>
              <w:spacing w:after="0" w:line="240" w:lineRule="auto"/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</w:pPr>
            <w:r w:rsidRPr="00534C3B"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>с. Південне, вул. Центральна, 12</w:t>
            </w:r>
          </w:p>
        </w:tc>
        <w:tc>
          <w:tcPr>
            <w:tcW w:w="995" w:type="pct"/>
            <w:vMerge w:val="restart"/>
            <w:shd w:val="clear" w:color="auto" w:fill="FFFFFF"/>
          </w:tcPr>
          <w:p w:rsidR="00534C3B" w:rsidRPr="00534C3B" w:rsidRDefault="00534C3B" w:rsidP="00534C3B">
            <w:pPr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 xml:space="preserve">Експертне обстеження (технічне діагностування) та позачерговий технічний огляд  котла з  наданням висновку експертизи за результатами експертного обстеження  (технічного діагностування)   </w:t>
            </w:r>
          </w:p>
        </w:tc>
        <w:tc>
          <w:tcPr>
            <w:tcW w:w="607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color w:val="auto"/>
                <w:sz w:val="18"/>
                <w:szCs w:val="18"/>
                <w:lang w:val="uk-UA" w:eastAsia="uk-UA" w:bidi="uk-UA"/>
              </w:rPr>
              <w:t xml:space="preserve">Водогрійний стальний </w:t>
            </w:r>
          </w:p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 xml:space="preserve">НІКА-0,5 </w:t>
            </w:r>
            <w:proofErr w:type="spellStart"/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Гн</w:t>
            </w:r>
            <w:proofErr w:type="spellEnd"/>
          </w:p>
        </w:tc>
        <w:tc>
          <w:tcPr>
            <w:tcW w:w="390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1997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642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1848</w:t>
            </w:r>
          </w:p>
        </w:tc>
        <w:tc>
          <w:tcPr>
            <w:tcW w:w="594" w:type="pct"/>
            <w:shd w:val="clear" w:color="auto" w:fill="FFFFFF"/>
          </w:tcPr>
          <w:p w:rsidR="00534C3B" w:rsidRPr="00534C3B" w:rsidRDefault="00534C3B" w:rsidP="00534C3B">
            <w:pPr>
              <w:spacing w:after="200" w:line="276" w:lineRule="auto"/>
              <w:rPr>
                <w:rFonts w:eastAsia="Calibri"/>
                <w:sz w:val="18"/>
                <w:szCs w:val="18"/>
                <w:u w:color="000000"/>
                <w:lang w:val="uk-UA"/>
              </w:rPr>
            </w:pP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 xml:space="preserve">розрахунковий тиск води – до 0,6 </w:t>
            </w:r>
            <w:proofErr w:type="spellStart"/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МПа</w:t>
            </w:r>
            <w:proofErr w:type="spellEnd"/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; розрахункова температура – 115</w:t>
            </w:r>
            <w:r w:rsidRPr="00534C3B">
              <w:rPr>
                <w:rFonts w:eastAsia="Calibri"/>
                <w:color w:val="auto"/>
                <w:sz w:val="18"/>
                <w:szCs w:val="18"/>
                <w:vertAlign w:val="superscript"/>
                <w:lang w:val="uk-UA"/>
              </w:rPr>
              <w:t>0</w:t>
            </w: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С; об'єм котла – 0,4 м</w:t>
            </w:r>
            <w:r w:rsidRPr="00534C3B">
              <w:rPr>
                <w:rFonts w:eastAsia="Calibri"/>
                <w:color w:val="auto"/>
                <w:sz w:val="18"/>
                <w:szCs w:val="18"/>
                <w:vertAlign w:val="superscript"/>
                <w:lang w:val="uk-UA"/>
              </w:rPr>
              <w:t>3</w:t>
            </w: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; робоче середовище – вода; теплопродуктивність-0,5 МВт</w:t>
            </w:r>
          </w:p>
        </w:tc>
      </w:tr>
      <w:tr w:rsidR="00534C3B" w:rsidRPr="00935F93" w:rsidTr="00886AFA">
        <w:trPr>
          <w:trHeight w:hRule="exact" w:val="2404"/>
        </w:trPr>
        <w:tc>
          <w:tcPr>
            <w:tcW w:w="179" w:type="pct"/>
            <w:vMerge/>
            <w:shd w:val="clear" w:color="auto" w:fill="FFFFFF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669" w:type="pct"/>
            <w:vMerge/>
            <w:shd w:val="clear" w:color="auto" w:fill="FFFFFF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910" w:type="pct"/>
            <w:vMerge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995" w:type="pct"/>
            <w:vMerge/>
            <w:shd w:val="clear" w:color="auto" w:fill="FFFFFF"/>
          </w:tcPr>
          <w:p w:rsidR="00534C3B" w:rsidRPr="00534C3B" w:rsidRDefault="00534C3B" w:rsidP="00534C3B">
            <w:pPr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color w:val="auto"/>
                <w:sz w:val="18"/>
                <w:szCs w:val="18"/>
                <w:lang w:val="uk-UA" w:eastAsia="uk-UA" w:bidi="uk-UA"/>
              </w:rPr>
              <w:t xml:space="preserve">Водогрійний стальний </w:t>
            </w:r>
          </w:p>
          <w:p w:rsidR="00534C3B" w:rsidRPr="00534C3B" w:rsidRDefault="00534C3B" w:rsidP="00534C3B">
            <w:pPr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 xml:space="preserve">НІКА-0,5 </w:t>
            </w:r>
            <w:proofErr w:type="spellStart"/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Гн</w:t>
            </w:r>
            <w:proofErr w:type="spellEnd"/>
          </w:p>
        </w:tc>
        <w:tc>
          <w:tcPr>
            <w:tcW w:w="390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1997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634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1847</w:t>
            </w:r>
          </w:p>
        </w:tc>
        <w:tc>
          <w:tcPr>
            <w:tcW w:w="594" w:type="pct"/>
            <w:shd w:val="clear" w:color="auto" w:fill="FFFFFF"/>
          </w:tcPr>
          <w:p w:rsidR="00534C3B" w:rsidRPr="00534C3B" w:rsidRDefault="00534C3B" w:rsidP="00534C3B">
            <w:pPr>
              <w:spacing w:after="200" w:line="276" w:lineRule="auto"/>
              <w:rPr>
                <w:rFonts w:eastAsia="Calibri"/>
                <w:sz w:val="18"/>
                <w:szCs w:val="18"/>
                <w:u w:color="000000"/>
                <w:lang w:val="uk-UA"/>
              </w:rPr>
            </w:pP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 xml:space="preserve">розрахунковий тиск води – до 0,6 </w:t>
            </w:r>
            <w:proofErr w:type="spellStart"/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МПа</w:t>
            </w:r>
            <w:proofErr w:type="spellEnd"/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; розрахункова температура – 115</w:t>
            </w:r>
            <w:r w:rsidRPr="00534C3B">
              <w:rPr>
                <w:rFonts w:eastAsia="Calibri"/>
                <w:color w:val="auto"/>
                <w:sz w:val="18"/>
                <w:szCs w:val="18"/>
                <w:vertAlign w:val="superscript"/>
                <w:lang w:val="uk-UA"/>
              </w:rPr>
              <w:t>0</w:t>
            </w: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С; об'єм котла – 0,4 м</w:t>
            </w:r>
            <w:r w:rsidRPr="00534C3B">
              <w:rPr>
                <w:rFonts w:eastAsia="Calibri"/>
                <w:color w:val="auto"/>
                <w:sz w:val="18"/>
                <w:szCs w:val="18"/>
                <w:vertAlign w:val="superscript"/>
                <w:lang w:val="uk-UA"/>
              </w:rPr>
              <w:t>3</w:t>
            </w: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; робоче середовище – вода; теплопродуктивність-0,5 МВт</w:t>
            </w:r>
          </w:p>
        </w:tc>
      </w:tr>
      <w:tr w:rsidR="00534C3B" w:rsidRPr="00935F93" w:rsidTr="00886AFA">
        <w:trPr>
          <w:trHeight w:hRule="exact" w:val="2409"/>
        </w:trPr>
        <w:tc>
          <w:tcPr>
            <w:tcW w:w="179" w:type="pct"/>
            <w:vMerge w:val="restart"/>
            <w:shd w:val="clear" w:color="auto" w:fill="FFFFFF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2</w:t>
            </w:r>
          </w:p>
        </w:tc>
        <w:tc>
          <w:tcPr>
            <w:tcW w:w="669" w:type="pct"/>
            <w:vMerge w:val="restart"/>
            <w:shd w:val="clear" w:color="auto" w:fill="FFFFFF"/>
          </w:tcPr>
          <w:p w:rsidR="00534C3B" w:rsidRPr="00534C3B" w:rsidRDefault="00534C3B" w:rsidP="00534C3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</w:pPr>
            <w:proofErr w:type="spellStart"/>
            <w:r w:rsidRPr="00534C3B">
              <w:rPr>
                <w:rFonts w:eastAsia="Calibri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>Криничуватський</w:t>
            </w:r>
            <w:proofErr w:type="spellEnd"/>
            <w:r w:rsidRPr="00534C3B">
              <w:rPr>
                <w:rFonts w:eastAsia="Calibri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 xml:space="preserve"> ліцей</w:t>
            </w:r>
            <w:r w:rsidRPr="00534C3B"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534C3B">
              <w:rPr>
                <w:rFonts w:eastAsia="Calibri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>Мозолевської</w:t>
            </w:r>
            <w:proofErr w:type="spellEnd"/>
            <w:r w:rsidRPr="00534C3B">
              <w:rPr>
                <w:rFonts w:eastAsia="Calibri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 xml:space="preserve"> сільської ради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534C3B" w:rsidRPr="00534C3B" w:rsidRDefault="00534C3B" w:rsidP="00534C3B">
            <w:pPr>
              <w:spacing w:after="0" w:line="276" w:lineRule="auto"/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</w:pPr>
            <w:r w:rsidRPr="00534C3B">
              <w:rPr>
                <w:rFonts w:eastAsia="Calibri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>53244, Дніпропетровська обл., Нікопольський р-н,</w:t>
            </w:r>
          </w:p>
          <w:p w:rsidR="00534C3B" w:rsidRPr="00534C3B" w:rsidRDefault="00534C3B" w:rsidP="00534C3B">
            <w:pPr>
              <w:spacing w:after="0" w:line="276" w:lineRule="auto"/>
              <w:rPr>
                <w:rFonts w:eastAsia="Times New Roman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</w:pPr>
            <w:r w:rsidRPr="00534C3B">
              <w:rPr>
                <w:rFonts w:eastAsia="Calibri"/>
                <w:color w:val="auto"/>
                <w:sz w:val="18"/>
                <w:szCs w:val="18"/>
                <w:shd w:val="clear" w:color="auto" w:fill="FFFFFF"/>
                <w:lang w:val="uk-UA" w:eastAsia="uk-UA"/>
              </w:rPr>
              <w:t xml:space="preserve"> с. Криничувате, вул. Центральна, 8</w:t>
            </w:r>
          </w:p>
        </w:tc>
        <w:tc>
          <w:tcPr>
            <w:tcW w:w="995" w:type="pct"/>
            <w:vMerge w:val="restart"/>
            <w:shd w:val="clear" w:color="auto" w:fill="FFFFFF"/>
          </w:tcPr>
          <w:p w:rsidR="00534C3B" w:rsidRPr="00534C3B" w:rsidRDefault="00534C3B" w:rsidP="00534C3B">
            <w:pPr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 xml:space="preserve">Експертне обстеження (технічне діагностування) та позачерговий технічний огляд  котла з  наданням висновку експертизи за результатами експертного обстеження  (технічного діагностування)   </w:t>
            </w:r>
          </w:p>
        </w:tc>
        <w:tc>
          <w:tcPr>
            <w:tcW w:w="607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color w:val="auto"/>
                <w:sz w:val="18"/>
                <w:szCs w:val="18"/>
                <w:lang w:val="uk-UA" w:eastAsia="uk-UA" w:bidi="uk-UA"/>
              </w:rPr>
              <w:t xml:space="preserve">Котел водогрійний </w:t>
            </w: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Факел-Г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1986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1431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1856</w:t>
            </w:r>
          </w:p>
        </w:tc>
        <w:tc>
          <w:tcPr>
            <w:tcW w:w="594" w:type="pct"/>
            <w:shd w:val="clear" w:color="auto" w:fill="FFFFFF"/>
          </w:tcPr>
          <w:p w:rsidR="00534C3B" w:rsidRPr="00534C3B" w:rsidRDefault="00534C3B" w:rsidP="00534C3B">
            <w:pPr>
              <w:spacing w:after="200" w:line="276" w:lineRule="auto"/>
              <w:rPr>
                <w:rFonts w:eastAsia="Calibri"/>
                <w:sz w:val="18"/>
                <w:szCs w:val="18"/>
                <w:u w:color="000000"/>
                <w:lang w:val="uk-UA"/>
              </w:rPr>
            </w:pP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 xml:space="preserve">розрахунковий тиск води – до 0,6 </w:t>
            </w:r>
            <w:proofErr w:type="spellStart"/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МПа</w:t>
            </w:r>
            <w:proofErr w:type="spellEnd"/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; розрахункова температура – 115</w:t>
            </w:r>
            <w:r w:rsidRPr="00534C3B">
              <w:rPr>
                <w:rFonts w:eastAsia="Calibri"/>
                <w:color w:val="auto"/>
                <w:sz w:val="18"/>
                <w:szCs w:val="18"/>
                <w:vertAlign w:val="superscript"/>
                <w:lang w:val="uk-UA"/>
              </w:rPr>
              <w:t>0</w:t>
            </w: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С; об'єм котла – 0,6 м</w:t>
            </w:r>
            <w:r w:rsidRPr="00534C3B">
              <w:rPr>
                <w:rFonts w:eastAsia="Calibri"/>
                <w:color w:val="auto"/>
                <w:sz w:val="18"/>
                <w:szCs w:val="18"/>
                <w:vertAlign w:val="superscript"/>
                <w:lang w:val="uk-UA"/>
              </w:rPr>
              <w:t>3</w:t>
            </w: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; робоче середовище – вода; теплопродуктивність-1 МВт</w:t>
            </w:r>
          </w:p>
        </w:tc>
      </w:tr>
      <w:tr w:rsidR="00534C3B" w:rsidRPr="00935F93" w:rsidTr="00886AFA">
        <w:trPr>
          <w:trHeight w:hRule="exact" w:val="2400"/>
        </w:trPr>
        <w:tc>
          <w:tcPr>
            <w:tcW w:w="179" w:type="pct"/>
            <w:vMerge/>
            <w:shd w:val="clear" w:color="auto" w:fill="FFFFFF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669" w:type="pct"/>
            <w:vMerge/>
            <w:shd w:val="clear" w:color="auto" w:fill="FFFFFF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910" w:type="pct"/>
            <w:vMerge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995" w:type="pct"/>
            <w:vMerge/>
            <w:shd w:val="clear" w:color="auto" w:fill="FFFFFF"/>
          </w:tcPr>
          <w:p w:rsidR="00534C3B" w:rsidRPr="00534C3B" w:rsidRDefault="00534C3B" w:rsidP="00534C3B">
            <w:pPr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 w:rsidRPr="00534C3B">
              <w:rPr>
                <w:rFonts w:eastAsia="Times New Roman"/>
                <w:color w:val="auto"/>
                <w:sz w:val="18"/>
                <w:szCs w:val="18"/>
                <w:lang w:val="uk-UA" w:eastAsia="uk-UA" w:bidi="uk-UA"/>
              </w:rPr>
              <w:t xml:space="preserve">Котел водогрійний </w:t>
            </w: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Факел-Г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1986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1432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534C3B" w:rsidRPr="00534C3B" w:rsidRDefault="00534C3B" w:rsidP="00534C3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uk-UA" w:eastAsia="uk-UA" w:bidi="uk-UA"/>
              </w:rPr>
            </w:pPr>
            <w:r w:rsidRPr="00534C3B">
              <w:rPr>
                <w:rFonts w:eastAsia="Times New Roman"/>
                <w:sz w:val="18"/>
                <w:szCs w:val="18"/>
                <w:lang w:val="uk-UA" w:eastAsia="uk-UA" w:bidi="uk-UA"/>
              </w:rPr>
              <w:t>1855</w:t>
            </w:r>
          </w:p>
        </w:tc>
        <w:tc>
          <w:tcPr>
            <w:tcW w:w="594" w:type="pct"/>
            <w:shd w:val="clear" w:color="auto" w:fill="FFFFFF"/>
          </w:tcPr>
          <w:p w:rsidR="00534C3B" w:rsidRPr="00534C3B" w:rsidRDefault="00534C3B" w:rsidP="00534C3B">
            <w:pPr>
              <w:spacing w:after="200" w:line="276" w:lineRule="auto"/>
              <w:rPr>
                <w:rFonts w:eastAsia="Calibri"/>
                <w:sz w:val="18"/>
                <w:szCs w:val="18"/>
                <w:u w:color="000000"/>
                <w:lang w:val="uk-UA"/>
              </w:rPr>
            </w:pP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 xml:space="preserve">розрахунковий тиск води – до 0,6 </w:t>
            </w:r>
            <w:proofErr w:type="spellStart"/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МПа</w:t>
            </w:r>
            <w:proofErr w:type="spellEnd"/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; розрахункова температура – 115</w:t>
            </w:r>
            <w:r w:rsidRPr="00534C3B">
              <w:rPr>
                <w:rFonts w:eastAsia="Calibri"/>
                <w:color w:val="auto"/>
                <w:sz w:val="18"/>
                <w:szCs w:val="18"/>
                <w:vertAlign w:val="superscript"/>
                <w:lang w:val="uk-UA"/>
              </w:rPr>
              <w:t>0</w:t>
            </w: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С; об'єм котла – 0,6 м</w:t>
            </w:r>
            <w:r w:rsidRPr="00534C3B">
              <w:rPr>
                <w:rFonts w:eastAsia="Calibri"/>
                <w:color w:val="auto"/>
                <w:sz w:val="18"/>
                <w:szCs w:val="18"/>
                <w:vertAlign w:val="superscript"/>
                <w:lang w:val="uk-UA"/>
              </w:rPr>
              <w:t>3</w:t>
            </w:r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 xml:space="preserve">; робоче середовище </w:t>
            </w:r>
            <w:proofErr w:type="spellStart"/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–вода</w:t>
            </w:r>
            <w:proofErr w:type="spellEnd"/>
            <w:r w:rsidRPr="00534C3B">
              <w:rPr>
                <w:rFonts w:eastAsia="Calibri"/>
                <w:color w:val="auto"/>
                <w:sz w:val="18"/>
                <w:szCs w:val="18"/>
                <w:lang w:val="uk-UA"/>
              </w:rPr>
              <w:t>; теплопродуктивність-1 МВт</w:t>
            </w:r>
          </w:p>
        </w:tc>
      </w:tr>
      <w:tr w:rsidR="00534C3B" w:rsidRPr="00935F93" w:rsidTr="00886A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406" w:type="pct"/>
            <w:gridSpan w:val="8"/>
          </w:tcPr>
          <w:p w:rsidR="00534C3B" w:rsidRPr="00534C3B" w:rsidRDefault="00534C3B" w:rsidP="00534C3B">
            <w:pPr>
              <w:spacing w:after="0" w:line="276" w:lineRule="auto"/>
              <w:rPr>
                <w:rFonts w:eastAsia="Times New Roman"/>
                <w:color w:val="auto"/>
                <w:lang w:val="uk-UA" w:eastAsia="uk-UA" w:bidi="uk-UA"/>
              </w:rPr>
            </w:pPr>
          </w:p>
        </w:tc>
        <w:tc>
          <w:tcPr>
            <w:tcW w:w="594" w:type="pct"/>
          </w:tcPr>
          <w:p w:rsidR="00534C3B" w:rsidRPr="00534C3B" w:rsidRDefault="00534C3B" w:rsidP="00534C3B">
            <w:pPr>
              <w:spacing w:after="0" w:line="276" w:lineRule="auto"/>
              <w:rPr>
                <w:rFonts w:eastAsia="Times New Roman"/>
                <w:color w:val="auto"/>
                <w:lang w:val="uk-UA" w:eastAsia="uk-UA" w:bidi="uk-UA"/>
              </w:rPr>
            </w:pPr>
          </w:p>
        </w:tc>
      </w:tr>
    </w:tbl>
    <w:p w:rsidR="00534C3B" w:rsidRPr="00534C3B" w:rsidRDefault="00534C3B" w:rsidP="00534C3B">
      <w:pPr>
        <w:spacing w:after="0" w:line="276" w:lineRule="auto"/>
        <w:jc w:val="both"/>
        <w:rPr>
          <w:rFonts w:eastAsia="Times New Roman"/>
          <w:color w:val="auto"/>
          <w:lang w:val="uk-UA" w:eastAsia="uk-UA" w:bidi="uk-UA"/>
        </w:rPr>
      </w:pPr>
      <w:r w:rsidRPr="00534C3B">
        <w:rPr>
          <w:rFonts w:eastAsia="Times New Roman"/>
          <w:color w:val="auto"/>
          <w:lang w:val="uk-UA" w:eastAsia="uk-UA" w:bidi="uk-UA"/>
        </w:rPr>
        <w:t>Виконавець власними силами та за власний рахунок здійснює доставку працівників та їх обладнання до місця надання послуг та у зворотному напрямку.</w:t>
      </w:r>
    </w:p>
    <w:p w:rsidR="00534C3B" w:rsidRPr="00534C3B" w:rsidRDefault="00534C3B" w:rsidP="00534C3B">
      <w:pPr>
        <w:spacing w:after="0" w:line="276" w:lineRule="auto"/>
        <w:jc w:val="both"/>
        <w:rPr>
          <w:rFonts w:eastAsia="Times New Roman"/>
          <w:color w:val="auto"/>
          <w:lang w:val="uk-UA" w:eastAsia="uk-UA" w:bidi="uk-UA"/>
        </w:rPr>
      </w:pPr>
    </w:p>
    <w:p w:rsidR="00534C3B" w:rsidRPr="00534C3B" w:rsidRDefault="00534C3B" w:rsidP="00534C3B">
      <w:pPr>
        <w:spacing w:after="0" w:line="276" w:lineRule="auto"/>
        <w:jc w:val="both"/>
        <w:rPr>
          <w:rFonts w:eastAsia="Times New Roman"/>
          <w:color w:val="auto"/>
          <w:lang w:val="uk-UA" w:eastAsia="uk-UA" w:bidi="uk-UA"/>
        </w:rPr>
      </w:pPr>
      <w:r w:rsidRPr="00534C3B">
        <w:rPr>
          <w:rFonts w:eastAsia="Times New Roman"/>
          <w:color w:val="auto"/>
          <w:lang w:val="uk-UA" w:eastAsia="uk-UA" w:bidi="uk-UA"/>
        </w:rPr>
        <w:lastRenderedPageBreak/>
        <w:t xml:space="preserve">Виконавець повинен бути уповноваженим (визнаним) суб’єктом діяльності згідно Порядку проведення технічного огляду, випробування та експертного обстеження (технічного діагностування) машин, механізмів, </w:t>
      </w:r>
      <w:proofErr w:type="spellStart"/>
      <w:r w:rsidRPr="00534C3B">
        <w:rPr>
          <w:rFonts w:eastAsia="Times New Roman"/>
          <w:color w:val="auto"/>
          <w:lang w:val="uk-UA" w:eastAsia="uk-UA" w:bidi="uk-UA"/>
        </w:rPr>
        <w:t>устатковання</w:t>
      </w:r>
      <w:proofErr w:type="spellEnd"/>
      <w:r w:rsidRPr="00534C3B">
        <w:rPr>
          <w:rFonts w:eastAsia="Times New Roman"/>
          <w:color w:val="auto"/>
          <w:lang w:val="uk-UA" w:eastAsia="uk-UA" w:bidi="uk-UA"/>
        </w:rPr>
        <w:t xml:space="preserve"> підвищеної небезпеки.</w:t>
      </w:r>
    </w:p>
    <w:p w:rsidR="00534C3B" w:rsidRPr="00534C3B" w:rsidRDefault="00534C3B" w:rsidP="00534C3B">
      <w:pPr>
        <w:spacing w:after="0" w:line="240" w:lineRule="auto"/>
        <w:jc w:val="both"/>
        <w:rPr>
          <w:rFonts w:eastAsia="Times New Roman"/>
          <w:color w:val="auto"/>
          <w:lang w:val="uk-UA" w:eastAsia="uk-UA" w:bidi="uk-UA"/>
        </w:rPr>
      </w:pPr>
    </w:p>
    <w:p w:rsidR="00534C3B" w:rsidRPr="00534C3B" w:rsidRDefault="00534C3B" w:rsidP="00534C3B">
      <w:pPr>
        <w:spacing w:after="0" w:line="240" w:lineRule="auto"/>
        <w:jc w:val="both"/>
        <w:rPr>
          <w:rFonts w:eastAsia="Times New Roman"/>
          <w:color w:val="auto"/>
          <w:lang w:val="uk-UA" w:eastAsia="uk-UA" w:bidi="uk-UA"/>
        </w:rPr>
      </w:pPr>
      <w:r w:rsidRPr="00534C3B">
        <w:rPr>
          <w:rFonts w:eastAsia="Times New Roman"/>
          <w:color w:val="auto"/>
          <w:lang w:val="uk-UA" w:eastAsia="uk-UA" w:bidi="uk-UA"/>
        </w:rPr>
        <w:t xml:space="preserve">Послуги повинні надаватися у порядку, визначеному діючим законодавством України, в т.ч. постановою Кабінету Міністрів України «Про затвердження Порядку проведення технічного огляду, випробування та експертного обстеження (технічного діагностування) машин, механізмів, </w:t>
      </w:r>
      <w:proofErr w:type="spellStart"/>
      <w:r w:rsidRPr="00534C3B">
        <w:rPr>
          <w:rFonts w:eastAsia="Times New Roman"/>
          <w:color w:val="auto"/>
          <w:lang w:val="uk-UA" w:eastAsia="uk-UA" w:bidi="uk-UA"/>
        </w:rPr>
        <w:t>устатковання</w:t>
      </w:r>
      <w:proofErr w:type="spellEnd"/>
      <w:r w:rsidRPr="00534C3B">
        <w:rPr>
          <w:rFonts w:eastAsia="Times New Roman"/>
          <w:color w:val="auto"/>
          <w:lang w:val="uk-UA" w:eastAsia="uk-UA" w:bidi="uk-UA"/>
        </w:rPr>
        <w:t xml:space="preserve"> підвищеної небезпеки» від 26.05.2004р. № 687, наказом Міністерства соціальної політики України від 05.03.2018 № 333.</w:t>
      </w:r>
    </w:p>
    <w:p w:rsidR="00534C3B" w:rsidRPr="00534C3B" w:rsidRDefault="00534C3B" w:rsidP="00534C3B">
      <w:pPr>
        <w:spacing w:after="0" w:line="240" w:lineRule="auto"/>
        <w:jc w:val="both"/>
        <w:rPr>
          <w:rFonts w:eastAsia="Times New Roman"/>
          <w:color w:val="auto"/>
          <w:lang w:val="uk-UA" w:eastAsia="uk-UA" w:bidi="uk-UA"/>
        </w:rPr>
      </w:pPr>
    </w:p>
    <w:p w:rsidR="00534C3B" w:rsidRPr="00534C3B" w:rsidRDefault="00534C3B" w:rsidP="00534C3B">
      <w:pPr>
        <w:spacing w:after="0" w:line="240" w:lineRule="auto"/>
        <w:jc w:val="both"/>
        <w:rPr>
          <w:rFonts w:eastAsia="Times New Roman"/>
          <w:color w:val="auto"/>
          <w:lang w:val="uk-UA" w:eastAsia="uk-UA" w:bidi="uk-UA"/>
        </w:rPr>
      </w:pPr>
      <w:r w:rsidRPr="00534C3B">
        <w:rPr>
          <w:rFonts w:eastAsia="Times New Roman"/>
          <w:color w:val="auto"/>
          <w:lang w:val="uk-UA" w:eastAsia="uk-UA" w:bidi="uk-UA"/>
        </w:rPr>
        <w:t xml:space="preserve">Результати виконання Послуг - надання в друкованому вигляді експертних висновків про можливість (не можливість) подальшої безпечної експлуатації  водогрійних котлів та  термінів проведення наступного експертного обстеження (технічного діагностування)  з </w:t>
      </w:r>
      <w:r>
        <w:rPr>
          <w:rFonts w:eastAsia="Times New Roman"/>
          <w:color w:val="auto"/>
          <w:lang w:val="uk-UA" w:eastAsia="uk-UA" w:bidi="uk-UA"/>
        </w:rPr>
        <w:t xml:space="preserve"> </w:t>
      </w:r>
      <w:r w:rsidRPr="00534C3B">
        <w:rPr>
          <w:rFonts w:eastAsia="Times New Roman"/>
          <w:color w:val="auto"/>
          <w:lang w:val="uk-UA" w:eastAsia="uk-UA" w:bidi="uk-UA"/>
        </w:rPr>
        <w:t xml:space="preserve">занесенням всіх необхідних даних  в паспорта котлів про існуючий технічний стан та можливі робочі параметри експлуатації. </w:t>
      </w:r>
    </w:p>
    <w:p w:rsidR="00534C3B" w:rsidRPr="00534C3B" w:rsidRDefault="00534C3B" w:rsidP="00534C3B">
      <w:pPr>
        <w:spacing w:after="0" w:line="240" w:lineRule="auto"/>
        <w:jc w:val="both"/>
        <w:rPr>
          <w:rFonts w:eastAsia="Times New Roman"/>
          <w:color w:val="auto"/>
          <w:lang w:val="uk-UA" w:eastAsia="uk-UA" w:bidi="uk-UA"/>
        </w:rPr>
      </w:pPr>
    </w:p>
    <w:p w:rsidR="00534C3B" w:rsidRPr="00534C3B" w:rsidRDefault="00534C3B" w:rsidP="00534C3B">
      <w:pPr>
        <w:spacing w:after="0" w:line="240" w:lineRule="auto"/>
        <w:jc w:val="both"/>
        <w:rPr>
          <w:rFonts w:eastAsia="Times New Roman"/>
          <w:color w:val="auto"/>
          <w:lang w:val="uk-UA" w:eastAsia="uk-UA" w:bidi="uk-UA"/>
        </w:rPr>
      </w:pPr>
      <w:r w:rsidRPr="00534C3B">
        <w:rPr>
          <w:rFonts w:eastAsia="Times New Roman"/>
          <w:color w:val="auto"/>
          <w:lang w:val="uk-UA" w:eastAsia="uk-UA" w:bidi="uk-UA"/>
        </w:rPr>
        <w:t>Результати проведення перевірки необхідно надати Замовнику в терміни надання послуг по кожному з об'єктів на протязі не більш ніж 15-ти робочих днів з моменту проведення наданих послуг.</w:t>
      </w:r>
    </w:p>
    <w:p w:rsidR="00534C3B" w:rsidRPr="00534C3B" w:rsidRDefault="00534C3B" w:rsidP="00534C3B">
      <w:pPr>
        <w:spacing w:after="0" w:line="240" w:lineRule="auto"/>
        <w:jc w:val="both"/>
        <w:rPr>
          <w:rFonts w:eastAsia="Times New Roman"/>
          <w:color w:val="auto"/>
          <w:lang w:val="uk-UA" w:eastAsia="uk-UA" w:bidi="uk-UA"/>
        </w:rPr>
      </w:pPr>
    </w:p>
    <w:p w:rsidR="00534C3B" w:rsidRPr="00534C3B" w:rsidRDefault="00534C3B" w:rsidP="00534C3B">
      <w:pPr>
        <w:spacing w:after="0" w:line="240" w:lineRule="auto"/>
        <w:jc w:val="both"/>
        <w:rPr>
          <w:rFonts w:eastAsia="Times New Roman"/>
          <w:color w:val="auto"/>
          <w:lang w:val="uk-UA" w:eastAsia="uk-UA" w:bidi="uk-UA"/>
        </w:rPr>
      </w:pPr>
      <w:bookmarkStart w:id="1" w:name="bookmark126"/>
      <w:bookmarkStart w:id="2" w:name="bookmark125"/>
      <w:bookmarkStart w:id="3" w:name="bookmark124"/>
      <w:r w:rsidRPr="00534C3B">
        <w:rPr>
          <w:rFonts w:eastAsia="Times New Roman"/>
          <w:color w:val="auto"/>
          <w:lang w:val="uk-UA" w:eastAsia="uk-UA" w:bidi="uk-UA"/>
        </w:rPr>
        <w:t>Якість послуги</w:t>
      </w:r>
      <w:bookmarkEnd w:id="1"/>
      <w:bookmarkEnd w:id="2"/>
      <w:bookmarkEnd w:id="3"/>
      <w:r w:rsidRPr="00534C3B">
        <w:rPr>
          <w:rFonts w:eastAsia="Times New Roman"/>
          <w:color w:val="auto"/>
          <w:lang w:val="uk-UA" w:eastAsia="uk-UA" w:bidi="uk-UA"/>
        </w:rPr>
        <w:t xml:space="preserve"> повинна відповідати вимогам нормативно-правового акту з охорони праці НПАОП 0.00-1.81-18. «Правила охорони праці під час експлуатації обладнання, що працює під тиском», затвердженим наказом Міністерства соціальної політики України від 05.03.2018 № 333</w:t>
      </w:r>
      <w:r w:rsidRPr="00534C3B">
        <w:rPr>
          <w:rFonts w:eastAsia="Times New Roman"/>
          <w:color w:val="auto"/>
          <w:lang w:val="uk-UA"/>
        </w:rPr>
        <w:t>.</w:t>
      </w:r>
    </w:p>
    <w:p w:rsidR="00534C3B" w:rsidRPr="00534C3B" w:rsidRDefault="00534C3B" w:rsidP="00534C3B">
      <w:pPr>
        <w:spacing w:after="0" w:line="240" w:lineRule="auto"/>
        <w:jc w:val="both"/>
        <w:rPr>
          <w:rFonts w:eastAsia="Times New Roman"/>
          <w:b/>
          <w:color w:val="auto"/>
          <w:lang w:val="uk-UA" w:eastAsia="uk-UA" w:bidi="uk-UA"/>
        </w:rPr>
      </w:pPr>
    </w:p>
    <w:p w:rsidR="00534C3B" w:rsidRPr="00534C3B" w:rsidRDefault="00534C3B" w:rsidP="00534C3B">
      <w:pPr>
        <w:spacing w:after="0" w:line="240" w:lineRule="auto"/>
        <w:jc w:val="both"/>
        <w:rPr>
          <w:rFonts w:eastAsia="Times New Roman"/>
          <w:color w:val="auto"/>
          <w:lang w:val="uk-UA" w:eastAsia="uk-UA" w:bidi="uk-UA"/>
        </w:rPr>
      </w:pPr>
      <w:r w:rsidRPr="00534C3B">
        <w:rPr>
          <w:rFonts w:eastAsia="Times New Roman"/>
          <w:b/>
          <w:color w:val="auto"/>
          <w:lang w:val="uk-UA" w:eastAsia="uk-UA" w:bidi="uk-UA"/>
        </w:rPr>
        <w:t xml:space="preserve">Термін надання послуг - </w:t>
      </w:r>
      <w:r w:rsidRPr="00534C3B">
        <w:rPr>
          <w:rFonts w:eastAsia="Times New Roman"/>
          <w:color w:val="auto"/>
          <w:lang w:val="uk-UA" w:eastAsia="uk-UA" w:bidi="uk-UA"/>
        </w:rPr>
        <w:t xml:space="preserve"> до 30.08.2025р. </w:t>
      </w:r>
    </w:p>
    <w:p w:rsidR="00534C3B" w:rsidRPr="00534C3B" w:rsidRDefault="00534C3B" w:rsidP="00534C3B">
      <w:pPr>
        <w:spacing w:after="0"/>
        <w:jc w:val="both"/>
        <w:rPr>
          <w:rFonts w:eastAsia="Calibri"/>
          <w:color w:val="auto"/>
          <w:lang w:val="uk-UA"/>
        </w:rPr>
      </w:pPr>
    </w:p>
    <w:p w:rsidR="00534C3B" w:rsidRPr="00534C3B" w:rsidRDefault="00534C3B" w:rsidP="00534C3B">
      <w:pPr>
        <w:spacing w:after="0"/>
        <w:jc w:val="both"/>
        <w:rPr>
          <w:rFonts w:eastAsia="Calibri"/>
          <w:color w:val="auto"/>
          <w:lang w:val="uk-UA"/>
        </w:rPr>
      </w:pPr>
      <w:r w:rsidRPr="00534C3B">
        <w:rPr>
          <w:rFonts w:eastAsia="Calibri"/>
          <w:color w:val="auto"/>
          <w:lang w:val="uk-UA"/>
        </w:rPr>
        <w:t>При формуванні ціни необхідно врахувати усі витрати, в тому числі податки і збори, у тому числі, що сплачуються або мають бути сплачені відповідно до положень Податкового кодексу України, які можуть бути ним понесені у ході виконання договору.</w:t>
      </w:r>
    </w:p>
    <w:p w:rsidR="00534C3B" w:rsidRPr="00534C3B" w:rsidRDefault="00534C3B" w:rsidP="00534C3B">
      <w:pPr>
        <w:tabs>
          <w:tab w:val="left" w:pos="284"/>
        </w:tabs>
        <w:spacing w:after="0" w:line="276" w:lineRule="auto"/>
        <w:jc w:val="both"/>
        <w:rPr>
          <w:rFonts w:eastAsia="Calibri"/>
          <w:color w:val="auto"/>
          <w:lang w:val="uk-UA"/>
        </w:rPr>
      </w:pPr>
    </w:p>
    <w:p w:rsidR="00735B82" w:rsidRDefault="00735B82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735B82" w:rsidRDefault="00735B82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735B82" w:rsidRPr="00D160D2" w:rsidRDefault="00735B82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3406B3" w:rsidRPr="00D160D2" w:rsidRDefault="003406B3" w:rsidP="00D35C73">
      <w:pPr>
        <w:spacing w:after="0"/>
        <w:jc w:val="both"/>
        <w:rPr>
          <w:color w:val="auto"/>
          <w:sz w:val="22"/>
          <w:szCs w:val="22"/>
          <w:lang w:val="uk-UA"/>
        </w:rPr>
      </w:pPr>
    </w:p>
    <w:p w:rsidR="000A5493" w:rsidRPr="000A5493" w:rsidRDefault="000A5493" w:rsidP="000A5493">
      <w:pPr>
        <w:spacing w:after="0"/>
        <w:rPr>
          <w:b/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>Головний спеціаліст відділу планування,</w:t>
      </w:r>
    </w:p>
    <w:p w:rsidR="000A5493" w:rsidRPr="000A5493" w:rsidRDefault="000A5493" w:rsidP="000A5493">
      <w:pPr>
        <w:spacing w:after="0"/>
        <w:rPr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 xml:space="preserve">        </w:t>
      </w:r>
      <w:r>
        <w:rPr>
          <w:b/>
          <w:color w:val="auto"/>
          <w:sz w:val="22"/>
          <w:szCs w:val="22"/>
          <w:lang w:val="uk-UA"/>
        </w:rPr>
        <w:t xml:space="preserve">   </w:t>
      </w:r>
      <w:r w:rsidRPr="000A5493">
        <w:rPr>
          <w:b/>
          <w:color w:val="auto"/>
          <w:sz w:val="22"/>
          <w:szCs w:val="22"/>
          <w:lang w:val="uk-UA"/>
        </w:rPr>
        <w:t xml:space="preserve">              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>Мар’яна ЖІНЧИН</w:t>
      </w:r>
    </w:p>
    <w:p w:rsidR="003406B3" w:rsidRPr="000A5493" w:rsidRDefault="003406B3" w:rsidP="000A5493">
      <w:pPr>
        <w:spacing w:after="0"/>
        <w:jc w:val="center"/>
        <w:rPr>
          <w:sz w:val="22"/>
          <w:szCs w:val="22"/>
          <w:lang w:val="uk-UA"/>
        </w:rPr>
      </w:pPr>
    </w:p>
    <w:sectPr w:rsidR="003406B3" w:rsidRPr="000A54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02065"/>
    <w:multiLevelType w:val="hybridMultilevel"/>
    <w:tmpl w:val="F05A3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4">
    <w:nsid w:val="42101C3A"/>
    <w:multiLevelType w:val="hybridMultilevel"/>
    <w:tmpl w:val="0F4C4182"/>
    <w:lvl w:ilvl="0" w:tplc="5920A26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6FB1"/>
    <w:rsid w:val="000563C2"/>
    <w:rsid w:val="0006144E"/>
    <w:rsid w:val="000742D9"/>
    <w:rsid w:val="000A3C10"/>
    <w:rsid w:val="000A5493"/>
    <w:rsid w:val="000D3B91"/>
    <w:rsid w:val="001044B9"/>
    <w:rsid w:val="00115087"/>
    <w:rsid w:val="001271EA"/>
    <w:rsid w:val="0012777B"/>
    <w:rsid w:val="00131AA5"/>
    <w:rsid w:val="00145178"/>
    <w:rsid w:val="001655A5"/>
    <w:rsid w:val="00173767"/>
    <w:rsid w:val="001A694F"/>
    <w:rsid w:val="001B6BB3"/>
    <w:rsid w:val="002054DD"/>
    <w:rsid w:val="002536CD"/>
    <w:rsid w:val="002B5F04"/>
    <w:rsid w:val="002E48E6"/>
    <w:rsid w:val="003406B3"/>
    <w:rsid w:val="00371776"/>
    <w:rsid w:val="00393A94"/>
    <w:rsid w:val="0040487B"/>
    <w:rsid w:val="00417478"/>
    <w:rsid w:val="00495C60"/>
    <w:rsid w:val="004D2BB5"/>
    <w:rsid w:val="00534C3B"/>
    <w:rsid w:val="0055545C"/>
    <w:rsid w:val="0056669B"/>
    <w:rsid w:val="005714A3"/>
    <w:rsid w:val="00611419"/>
    <w:rsid w:val="00623F16"/>
    <w:rsid w:val="00642084"/>
    <w:rsid w:val="00676EC0"/>
    <w:rsid w:val="006F0EC8"/>
    <w:rsid w:val="00735B82"/>
    <w:rsid w:val="0077412A"/>
    <w:rsid w:val="00811328"/>
    <w:rsid w:val="0093228E"/>
    <w:rsid w:val="00935F93"/>
    <w:rsid w:val="00943707"/>
    <w:rsid w:val="00A04035"/>
    <w:rsid w:val="00A36D4B"/>
    <w:rsid w:val="00A40974"/>
    <w:rsid w:val="00A87064"/>
    <w:rsid w:val="00AA0AD9"/>
    <w:rsid w:val="00AA49AB"/>
    <w:rsid w:val="00AB76F0"/>
    <w:rsid w:val="00AC4A34"/>
    <w:rsid w:val="00B05137"/>
    <w:rsid w:val="00B30AB2"/>
    <w:rsid w:val="00B4621B"/>
    <w:rsid w:val="00BC3399"/>
    <w:rsid w:val="00BC6799"/>
    <w:rsid w:val="00C3150C"/>
    <w:rsid w:val="00C76BE8"/>
    <w:rsid w:val="00C833F8"/>
    <w:rsid w:val="00CA2BFC"/>
    <w:rsid w:val="00CF54D1"/>
    <w:rsid w:val="00D160D2"/>
    <w:rsid w:val="00D35C73"/>
    <w:rsid w:val="00DD5C66"/>
    <w:rsid w:val="00E4421A"/>
    <w:rsid w:val="00EE4F1B"/>
    <w:rsid w:val="00F1664C"/>
    <w:rsid w:val="00F228C6"/>
    <w:rsid w:val="00FA7413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5493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0A3C10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5493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0A3C10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47E6-730C-4B14-8AD9-56E23600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2025-07-11T07:18:00Z</cp:lastPrinted>
  <dcterms:created xsi:type="dcterms:W3CDTF">2023-08-01T06:45:00Z</dcterms:created>
  <dcterms:modified xsi:type="dcterms:W3CDTF">2025-07-11T07:18:00Z</dcterms:modified>
</cp:coreProperties>
</file>