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B0" w:rsidRPr="00AA49AB" w:rsidRDefault="00C55CB0" w:rsidP="00C55CB0">
      <w:pPr>
        <w:spacing w:after="0"/>
        <w:jc w:val="center"/>
        <w:rPr>
          <w:b/>
          <w:lang w:val="ru-RU"/>
        </w:rPr>
      </w:pPr>
      <w:bookmarkStart w:id="0" w:name="_GoBack"/>
      <w:bookmarkEnd w:id="0"/>
      <w:r w:rsidRPr="00AA49AB">
        <w:rPr>
          <w:b/>
          <w:lang w:val="ru-RU"/>
        </w:rPr>
        <w:t>ОБҐРУНТУВАННЯ</w:t>
      </w:r>
    </w:p>
    <w:p w:rsidR="00C55CB0" w:rsidRPr="00811328" w:rsidRDefault="00C55CB0" w:rsidP="00C55CB0">
      <w:pPr>
        <w:jc w:val="center"/>
        <w:rPr>
          <w:b/>
          <w:lang w:val="uk-UA"/>
        </w:rPr>
      </w:pPr>
      <w:proofErr w:type="spellStart"/>
      <w:r w:rsidRPr="00AA49AB">
        <w:rPr>
          <w:b/>
          <w:lang w:val="ru-RU"/>
        </w:rPr>
        <w:t>технічних</w:t>
      </w:r>
      <w:proofErr w:type="spellEnd"/>
      <w:r w:rsidRPr="00AA49AB">
        <w:rPr>
          <w:b/>
          <w:lang w:val="ru-RU"/>
        </w:rPr>
        <w:t xml:space="preserve"> та </w:t>
      </w:r>
      <w:proofErr w:type="spellStart"/>
      <w:r w:rsidRPr="00AA49AB">
        <w:rPr>
          <w:b/>
          <w:lang w:val="ru-RU"/>
        </w:rPr>
        <w:t>якісних</w:t>
      </w:r>
      <w:proofErr w:type="spellEnd"/>
      <w:r w:rsidRPr="00AA49AB">
        <w:rPr>
          <w:b/>
          <w:lang w:val="ru-RU"/>
        </w:rPr>
        <w:t xml:space="preserve"> характеристик </w:t>
      </w:r>
      <w:proofErr w:type="spellStart"/>
      <w:r w:rsidRPr="00AA49AB">
        <w:rPr>
          <w:b/>
          <w:lang w:val="ru-RU"/>
        </w:rPr>
        <w:t>закупі</w:t>
      </w:r>
      <w:proofErr w:type="gramStart"/>
      <w:r w:rsidRPr="00AA49AB">
        <w:rPr>
          <w:b/>
          <w:lang w:val="ru-RU"/>
        </w:rPr>
        <w:t>вл</w:t>
      </w:r>
      <w:proofErr w:type="gramEnd"/>
      <w:r w:rsidRPr="00AA49AB">
        <w:rPr>
          <w:b/>
          <w:lang w:val="ru-RU"/>
        </w:rPr>
        <w:t>і</w:t>
      </w:r>
      <w:proofErr w:type="spellEnd"/>
      <w:r w:rsidRPr="00AA49AB">
        <w:rPr>
          <w:b/>
          <w:lang w:val="ru-RU"/>
        </w:rPr>
        <w:t xml:space="preserve"> товару</w:t>
      </w:r>
      <w:r>
        <w:rPr>
          <w:b/>
          <w:lang w:val="ru-RU"/>
        </w:rPr>
        <w:t>:</w:t>
      </w:r>
      <w:r w:rsidRPr="00AA49AB">
        <w:rPr>
          <w:b/>
          <w:lang w:val="ru-RU"/>
        </w:rPr>
        <w:t xml:space="preserve"> </w:t>
      </w:r>
      <w:r w:rsidRPr="0089003F">
        <w:rPr>
          <w:b/>
          <w:lang w:val="uk-UA"/>
        </w:rPr>
        <w:t xml:space="preserve">Паливні брикети з лушпиння соняшнику згідно коду CPV за </w:t>
      </w:r>
      <w:proofErr w:type="spellStart"/>
      <w:r w:rsidRPr="0089003F">
        <w:rPr>
          <w:b/>
          <w:lang w:val="uk-UA"/>
        </w:rPr>
        <w:t>ДК</w:t>
      </w:r>
      <w:proofErr w:type="spellEnd"/>
      <w:r w:rsidRPr="0089003F">
        <w:rPr>
          <w:b/>
          <w:lang w:val="uk-UA"/>
        </w:rPr>
        <w:t xml:space="preserve"> 021:2015 – 09110000-3 Тверде паливо</w:t>
      </w:r>
      <w:r w:rsidRPr="0055545C">
        <w:rPr>
          <w:b/>
          <w:lang w:val="ru-RU"/>
        </w:rPr>
        <w:t xml:space="preserve">, </w:t>
      </w:r>
      <w:proofErr w:type="spellStart"/>
      <w:r w:rsidRPr="00173767">
        <w:rPr>
          <w:b/>
          <w:lang w:val="ru-RU"/>
        </w:rPr>
        <w:t>розміру</w:t>
      </w:r>
      <w:proofErr w:type="spellEnd"/>
      <w:r w:rsidRPr="0055545C">
        <w:rPr>
          <w:b/>
          <w:lang w:val="ru-RU"/>
        </w:rPr>
        <w:t xml:space="preserve"> </w:t>
      </w:r>
      <w:r w:rsidRPr="00173767">
        <w:rPr>
          <w:b/>
          <w:lang w:val="ru-RU"/>
        </w:rPr>
        <w:t>бюджетного</w:t>
      </w:r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призначення</w:t>
      </w:r>
      <w:proofErr w:type="spellEnd"/>
      <w:r w:rsidRPr="0055545C">
        <w:rPr>
          <w:b/>
          <w:lang w:val="ru-RU"/>
        </w:rPr>
        <w:t xml:space="preserve">, </w:t>
      </w:r>
      <w:proofErr w:type="spellStart"/>
      <w:r w:rsidRPr="00173767">
        <w:rPr>
          <w:b/>
          <w:lang w:val="ru-RU"/>
        </w:rPr>
        <w:t>очікуваної</w:t>
      </w:r>
      <w:proofErr w:type="spellEnd"/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вартості</w:t>
      </w:r>
      <w:proofErr w:type="spellEnd"/>
      <w:r w:rsidRPr="0055545C">
        <w:rPr>
          <w:b/>
          <w:lang w:val="ru-RU"/>
        </w:rPr>
        <w:t xml:space="preserve"> </w:t>
      </w:r>
      <w:r w:rsidRPr="00173767">
        <w:rPr>
          <w:b/>
          <w:lang w:val="ru-RU"/>
        </w:rPr>
        <w:t>предмета</w:t>
      </w:r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закупівлі</w:t>
      </w:r>
      <w:proofErr w:type="spellEnd"/>
      <w:r w:rsidRPr="0055545C">
        <w:rPr>
          <w:b/>
          <w:lang w:val="ru-RU"/>
        </w:rPr>
        <w:t xml:space="preserve"> (</w:t>
      </w:r>
      <w:proofErr w:type="spellStart"/>
      <w:r w:rsidRPr="00173767">
        <w:rPr>
          <w:b/>
          <w:lang w:val="ru-RU"/>
        </w:rPr>
        <w:t>оприлюднюється</w:t>
      </w:r>
      <w:proofErr w:type="spellEnd"/>
      <w:r w:rsidRPr="0055545C">
        <w:rPr>
          <w:b/>
          <w:lang w:val="ru-RU"/>
        </w:rPr>
        <w:t xml:space="preserve"> </w:t>
      </w:r>
      <w:r w:rsidRPr="00173767">
        <w:rPr>
          <w:b/>
          <w:lang w:val="ru-RU"/>
        </w:rPr>
        <w:t>на</w:t>
      </w:r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виконання</w:t>
      </w:r>
      <w:proofErr w:type="spellEnd"/>
      <w:r w:rsidRPr="0055545C">
        <w:rPr>
          <w:b/>
          <w:lang w:val="ru-RU"/>
        </w:rPr>
        <w:t xml:space="preserve"> </w:t>
      </w:r>
      <w:r w:rsidRPr="00173767">
        <w:rPr>
          <w:b/>
          <w:lang w:val="ru-RU"/>
        </w:rPr>
        <w:t>постанови</w:t>
      </w:r>
      <w:r w:rsidRPr="0055545C">
        <w:rPr>
          <w:b/>
          <w:lang w:val="ru-RU"/>
        </w:rPr>
        <w:t xml:space="preserve"> </w:t>
      </w:r>
      <w:r w:rsidRPr="00173767">
        <w:rPr>
          <w:b/>
          <w:lang w:val="ru-RU"/>
        </w:rPr>
        <w:t>КМУ</w:t>
      </w:r>
      <w:r w:rsidRPr="0055545C">
        <w:rPr>
          <w:b/>
          <w:lang w:val="ru-RU"/>
        </w:rPr>
        <w:t xml:space="preserve"> № 710 </w:t>
      </w:r>
      <w:proofErr w:type="spellStart"/>
      <w:r w:rsidRPr="00173767">
        <w:rPr>
          <w:b/>
          <w:lang w:val="ru-RU"/>
        </w:rPr>
        <w:t>від</w:t>
      </w:r>
      <w:proofErr w:type="spellEnd"/>
      <w:r w:rsidRPr="0055545C">
        <w:rPr>
          <w:b/>
          <w:lang w:val="ru-RU"/>
        </w:rPr>
        <w:t xml:space="preserve"> 11.10.2016 «</w:t>
      </w:r>
      <w:r w:rsidRPr="00173767">
        <w:rPr>
          <w:b/>
          <w:lang w:val="ru-RU"/>
        </w:rPr>
        <w:t>Про</w:t>
      </w:r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ефективне</w:t>
      </w:r>
      <w:proofErr w:type="spellEnd"/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використання</w:t>
      </w:r>
      <w:proofErr w:type="spellEnd"/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державних</w:t>
      </w:r>
      <w:proofErr w:type="spellEnd"/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коштів</w:t>
      </w:r>
      <w:proofErr w:type="spellEnd"/>
      <w:r w:rsidRPr="0055545C">
        <w:rPr>
          <w:b/>
          <w:lang w:val="ru-RU"/>
        </w:rPr>
        <w:t>» (</w:t>
      </w:r>
      <w:proofErr w:type="spellStart"/>
      <w:r w:rsidRPr="00173767">
        <w:rPr>
          <w:b/>
          <w:lang w:val="ru-RU"/>
        </w:rPr>
        <w:t>зі</w:t>
      </w:r>
      <w:proofErr w:type="spellEnd"/>
      <w:r w:rsidRPr="0055545C">
        <w:rPr>
          <w:b/>
          <w:lang w:val="ru-RU"/>
        </w:rPr>
        <w:t xml:space="preserve"> </w:t>
      </w:r>
      <w:proofErr w:type="spellStart"/>
      <w:r w:rsidRPr="00173767">
        <w:rPr>
          <w:b/>
          <w:lang w:val="ru-RU"/>
        </w:rPr>
        <w:t>змінами</w:t>
      </w:r>
      <w:proofErr w:type="spellEnd"/>
      <w:r w:rsidRPr="0055545C">
        <w:rPr>
          <w:b/>
          <w:lang w:val="ru-RU"/>
        </w:rPr>
        <w:t>))</w:t>
      </w:r>
    </w:p>
    <w:p w:rsidR="00C55CB0" w:rsidRPr="0055545C" w:rsidRDefault="00C55CB0" w:rsidP="00C55CB0">
      <w:pPr>
        <w:spacing w:after="0"/>
        <w:jc w:val="center"/>
        <w:rPr>
          <w:b/>
          <w:lang w:val="ru-RU"/>
        </w:rPr>
      </w:pPr>
    </w:p>
    <w:p w:rsidR="00C55CB0" w:rsidRPr="00C3150C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sz w:val="22"/>
          <w:szCs w:val="22"/>
          <w:lang w:val="ru-RU"/>
        </w:rPr>
      </w:pPr>
      <w:proofErr w:type="spellStart"/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>Назва</w:t>
      </w:r>
      <w:proofErr w:type="spellEnd"/>
      <w:r w:rsidRPr="00C3150C">
        <w:rPr>
          <w:rFonts w:eastAsia="Times New Roman"/>
          <w:b/>
          <w:bCs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>предмета</w:t>
      </w:r>
      <w:r w:rsidRPr="00C3150C">
        <w:rPr>
          <w:rFonts w:eastAsia="Times New Roman"/>
          <w:b/>
          <w:bCs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>закупі</w:t>
      </w:r>
      <w:proofErr w:type="gramStart"/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>вл</w:t>
      </w:r>
      <w:proofErr w:type="gramEnd"/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>і</w:t>
      </w:r>
      <w:proofErr w:type="spellEnd"/>
      <w:r w:rsidRPr="00115087">
        <w:rPr>
          <w:rFonts w:eastAsia="Times New Roman"/>
          <w:color w:val="auto"/>
          <w:sz w:val="22"/>
          <w:szCs w:val="22"/>
        </w:rPr>
        <w:t> 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із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зазначенням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коду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за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Єдиним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закупівельним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словником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(</w:t>
      </w:r>
      <w:r w:rsidRPr="00115087">
        <w:rPr>
          <w:rFonts w:eastAsia="Times New Roman"/>
          <w:color w:val="auto"/>
          <w:sz w:val="22"/>
          <w:szCs w:val="22"/>
          <w:lang w:val="ru-RU"/>
        </w:rPr>
        <w:t>у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разі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поділу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на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лоти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такі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відомості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повинні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зазначатися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стосовно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кожного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лота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) </w:t>
      </w:r>
      <w:r w:rsidRPr="00115087">
        <w:rPr>
          <w:rFonts w:eastAsia="Times New Roman"/>
          <w:color w:val="auto"/>
          <w:sz w:val="22"/>
          <w:szCs w:val="22"/>
          <w:lang w:val="ru-RU"/>
        </w:rPr>
        <w:t>та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назви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відповідних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класифікаторів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предмета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закупівлі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й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частин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предмета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закупівлі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(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лотів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>) (</w:t>
      </w:r>
      <w:r w:rsidRPr="00115087">
        <w:rPr>
          <w:rFonts w:eastAsia="Times New Roman"/>
          <w:color w:val="auto"/>
          <w:sz w:val="22"/>
          <w:szCs w:val="22"/>
          <w:lang w:val="ru-RU"/>
        </w:rPr>
        <w:t>за</w:t>
      </w:r>
      <w:r w:rsidRP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наявності</w:t>
      </w:r>
      <w:proofErr w:type="spellEnd"/>
      <w:r w:rsidRPr="00C3150C">
        <w:rPr>
          <w:rFonts w:eastAsia="Times New Roman"/>
          <w:color w:val="auto"/>
          <w:sz w:val="22"/>
          <w:szCs w:val="22"/>
          <w:lang w:val="ru-RU"/>
        </w:rPr>
        <w:t>):</w:t>
      </w:r>
      <w:r w:rsidRPr="00115087">
        <w:rPr>
          <w:rFonts w:eastAsia="Times New Roman"/>
          <w:color w:val="auto"/>
          <w:sz w:val="22"/>
          <w:szCs w:val="22"/>
        </w:rPr>
        <w:t> </w:t>
      </w:r>
      <w:r w:rsidRPr="0089003F">
        <w:rPr>
          <w:rFonts w:eastAsia="Times New Roman"/>
          <w:b/>
          <w:bCs/>
          <w:color w:val="auto"/>
          <w:sz w:val="22"/>
          <w:szCs w:val="22"/>
          <w:lang w:val="uk-UA"/>
        </w:rPr>
        <w:t xml:space="preserve">Паливні брикети з лушпиння соняшнику згідно коду CPV за </w:t>
      </w:r>
      <w:proofErr w:type="spellStart"/>
      <w:r w:rsidRPr="0089003F">
        <w:rPr>
          <w:rFonts w:eastAsia="Times New Roman"/>
          <w:b/>
          <w:bCs/>
          <w:color w:val="auto"/>
          <w:sz w:val="22"/>
          <w:szCs w:val="22"/>
          <w:lang w:val="uk-UA"/>
        </w:rPr>
        <w:t>ДК</w:t>
      </w:r>
      <w:proofErr w:type="spellEnd"/>
      <w:r w:rsidRPr="0089003F">
        <w:rPr>
          <w:rFonts w:eastAsia="Times New Roman"/>
          <w:b/>
          <w:bCs/>
          <w:color w:val="auto"/>
          <w:sz w:val="22"/>
          <w:szCs w:val="22"/>
          <w:lang w:val="uk-UA"/>
        </w:rPr>
        <w:t xml:space="preserve"> 021:2015 – 09110000-3 Тверде паливо</w:t>
      </w:r>
      <w:r>
        <w:rPr>
          <w:rFonts w:eastAsia="Times New Roman"/>
          <w:b/>
          <w:bCs/>
          <w:color w:val="auto"/>
          <w:sz w:val="22"/>
          <w:szCs w:val="22"/>
          <w:lang w:val="uk-UA"/>
        </w:rPr>
        <w:t>.</w:t>
      </w:r>
    </w:p>
    <w:p w:rsidR="00C55CB0" w:rsidRPr="00C3150C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Деталізований</w:t>
      </w:r>
      <w:proofErr w:type="spellEnd"/>
      <w:r w:rsidRPr="00115087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31AA5">
        <w:rPr>
          <w:rFonts w:eastAsia="Times New Roman"/>
          <w:color w:val="auto"/>
          <w:sz w:val="22"/>
          <w:szCs w:val="22"/>
        </w:rPr>
        <w:t>CPV</w:t>
      </w:r>
      <w:r w:rsidRPr="00131AA5">
        <w:rPr>
          <w:rFonts w:eastAsia="Times New Roman"/>
          <w:color w:val="auto"/>
          <w:sz w:val="22"/>
          <w:szCs w:val="22"/>
          <w:lang w:val="ru-RU"/>
        </w:rPr>
        <w:t xml:space="preserve"> код (у т.ч. </w:t>
      </w:r>
      <w:proofErr w:type="gramStart"/>
      <w:r w:rsidRPr="00131AA5">
        <w:rPr>
          <w:rFonts w:eastAsia="Times New Roman"/>
          <w:color w:val="auto"/>
          <w:sz w:val="22"/>
          <w:szCs w:val="22"/>
          <w:lang w:val="ru-RU"/>
        </w:rPr>
        <w:t>для</w:t>
      </w:r>
      <w:proofErr w:type="gramEnd"/>
      <w:r w:rsidRPr="00131A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proofErr w:type="gramStart"/>
      <w:r w:rsidRPr="00131AA5">
        <w:rPr>
          <w:rFonts w:eastAsia="Times New Roman"/>
          <w:color w:val="auto"/>
          <w:sz w:val="22"/>
          <w:szCs w:val="22"/>
          <w:lang w:val="ru-RU"/>
        </w:rPr>
        <w:t>лот</w:t>
      </w:r>
      <w:proofErr w:type="gramEnd"/>
      <w:r w:rsidRPr="00131AA5">
        <w:rPr>
          <w:rFonts w:eastAsia="Times New Roman"/>
          <w:color w:val="auto"/>
          <w:sz w:val="22"/>
          <w:szCs w:val="22"/>
          <w:lang w:val="ru-RU"/>
        </w:rPr>
        <w:t>ів</w:t>
      </w:r>
      <w:proofErr w:type="spellEnd"/>
      <w:r w:rsidRPr="00131AA5">
        <w:rPr>
          <w:rFonts w:eastAsia="Times New Roman"/>
          <w:color w:val="auto"/>
          <w:sz w:val="22"/>
          <w:szCs w:val="22"/>
          <w:lang w:val="ru-RU"/>
        </w:rPr>
        <w:t xml:space="preserve">) та </w:t>
      </w:r>
      <w:proofErr w:type="spellStart"/>
      <w:r w:rsidRPr="00131AA5">
        <w:rPr>
          <w:rFonts w:eastAsia="Times New Roman"/>
          <w:color w:val="auto"/>
          <w:sz w:val="22"/>
          <w:szCs w:val="22"/>
          <w:lang w:val="ru-RU"/>
        </w:rPr>
        <w:t>його</w:t>
      </w:r>
      <w:proofErr w:type="spellEnd"/>
      <w:r w:rsidRPr="00131A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31AA5">
        <w:rPr>
          <w:rFonts w:eastAsia="Times New Roman"/>
          <w:color w:val="auto"/>
          <w:sz w:val="22"/>
          <w:szCs w:val="22"/>
          <w:lang w:val="ru-RU"/>
        </w:rPr>
        <w:t>назва</w:t>
      </w:r>
      <w:proofErr w:type="spellEnd"/>
      <w:r w:rsidRPr="00131AA5">
        <w:rPr>
          <w:rFonts w:eastAsia="Times New Roman"/>
          <w:color w:val="auto"/>
          <w:sz w:val="22"/>
          <w:szCs w:val="22"/>
          <w:lang w:val="ru-RU"/>
        </w:rPr>
        <w:t xml:space="preserve"> ДК 021:2015 –</w:t>
      </w:r>
      <w:r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0D3B91">
        <w:rPr>
          <w:rFonts w:eastAsia="Times New Roman"/>
          <w:bCs/>
          <w:color w:val="auto"/>
          <w:sz w:val="22"/>
          <w:szCs w:val="22"/>
          <w:lang w:val="uk-UA"/>
        </w:rPr>
        <w:t>09110000-3</w:t>
      </w:r>
      <w:r w:rsidRPr="00131AA5">
        <w:rPr>
          <w:rFonts w:eastAsia="Times New Roman"/>
          <w:bCs/>
          <w:color w:val="auto"/>
          <w:sz w:val="22"/>
          <w:szCs w:val="22"/>
          <w:lang w:val="ru-RU"/>
        </w:rPr>
        <w:t xml:space="preserve"> </w:t>
      </w:r>
      <w:r w:rsidRPr="00131AA5">
        <w:rPr>
          <w:rFonts w:eastAsia="Times New Roman"/>
          <w:color w:val="auto"/>
          <w:sz w:val="22"/>
          <w:szCs w:val="22"/>
          <w:lang w:val="ru-RU"/>
        </w:rPr>
        <w:t xml:space="preserve">– </w:t>
      </w:r>
      <w:r w:rsidRPr="000D3B91">
        <w:rPr>
          <w:rFonts w:eastAsia="Times New Roman"/>
          <w:color w:val="auto"/>
          <w:sz w:val="22"/>
          <w:szCs w:val="22"/>
          <w:lang w:val="uk-UA"/>
        </w:rPr>
        <w:t>Тверде паливо</w:t>
      </w:r>
      <w:r w:rsidRPr="00131AA5">
        <w:rPr>
          <w:rFonts w:eastAsia="Times New Roman"/>
          <w:color w:val="auto"/>
          <w:sz w:val="22"/>
          <w:szCs w:val="22"/>
          <w:lang w:val="ru-RU"/>
        </w:rPr>
        <w:t>.</w:t>
      </w:r>
    </w:p>
    <w:p w:rsidR="00C55CB0" w:rsidRPr="000742D9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  <w:proofErr w:type="spellStart"/>
      <w:r w:rsidRPr="00495C60">
        <w:rPr>
          <w:rFonts w:eastAsia="Times New Roman"/>
          <w:b/>
          <w:bCs/>
          <w:color w:val="auto"/>
          <w:sz w:val="22"/>
          <w:szCs w:val="22"/>
          <w:lang w:val="ru-RU"/>
        </w:rPr>
        <w:t>Ідентифікатор</w:t>
      </w:r>
      <w:proofErr w:type="spellEnd"/>
      <w:r w:rsidRPr="00495C60">
        <w:rPr>
          <w:rFonts w:eastAsia="Times New Roman"/>
          <w:b/>
          <w:bCs/>
          <w:color w:val="auto"/>
          <w:sz w:val="22"/>
          <w:szCs w:val="22"/>
          <w:lang w:val="ru-RU"/>
        </w:rPr>
        <w:t xml:space="preserve"> </w:t>
      </w:r>
      <w:proofErr w:type="spellStart"/>
      <w:r w:rsidRPr="00495C60">
        <w:rPr>
          <w:rFonts w:eastAsia="Times New Roman"/>
          <w:b/>
          <w:bCs/>
          <w:color w:val="auto"/>
          <w:sz w:val="22"/>
          <w:szCs w:val="22"/>
          <w:lang w:val="ru-RU"/>
        </w:rPr>
        <w:t>закупі</w:t>
      </w:r>
      <w:proofErr w:type="gramStart"/>
      <w:r w:rsidRPr="00495C60">
        <w:rPr>
          <w:rFonts w:eastAsia="Times New Roman"/>
          <w:b/>
          <w:bCs/>
          <w:color w:val="auto"/>
          <w:sz w:val="22"/>
          <w:szCs w:val="22"/>
          <w:lang w:val="ru-RU"/>
        </w:rPr>
        <w:t>вл</w:t>
      </w:r>
      <w:proofErr w:type="gramEnd"/>
      <w:r w:rsidRPr="00495C60">
        <w:rPr>
          <w:rFonts w:eastAsia="Times New Roman"/>
          <w:b/>
          <w:bCs/>
          <w:color w:val="auto"/>
          <w:sz w:val="22"/>
          <w:szCs w:val="22"/>
          <w:lang w:val="ru-RU"/>
        </w:rPr>
        <w:t>і</w:t>
      </w:r>
      <w:proofErr w:type="spellEnd"/>
      <w:r w:rsidRPr="00F228C6">
        <w:rPr>
          <w:rFonts w:eastAsia="Times New Roman"/>
          <w:b/>
          <w:bCs/>
          <w:color w:val="auto"/>
          <w:sz w:val="22"/>
          <w:szCs w:val="22"/>
          <w:lang w:val="ru-RU"/>
        </w:rPr>
        <w:t>:</w:t>
      </w:r>
      <w:r w:rsidRPr="00F228C6">
        <w:rPr>
          <w:rFonts w:eastAsia="Times New Roman"/>
          <w:b/>
          <w:bCs/>
          <w:color w:val="auto"/>
          <w:sz w:val="22"/>
          <w:szCs w:val="22"/>
          <w:lang w:val="uk-UA"/>
        </w:rPr>
        <w:t xml:space="preserve"> </w:t>
      </w:r>
      <w:proofErr w:type="gramStart"/>
      <w:r w:rsidRPr="0089003F">
        <w:rPr>
          <w:color w:val="auto"/>
          <w:sz w:val="22"/>
          <w:szCs w:val="22"/>
          <w:shd w:val="clear" w:color="auto" w:fill="FFFFFF"/>
        </w:rPr>
        <w:t>UA</w:t>
      </w:r>
      <w:r w:rsidRPr="00955801">
        <w:rPr>
          <w:color w:val="auto"/>
          <w:sz w:val="22"/>
          <w:szCs w:val="22"/>
          <w:shd w:val="clear" w:color="auto" w:fill="FFFFFF"/>
          <w:lang w:val="ru-RU"/>
        </w:rPr>
        <w:t>-2024-12-24-017994-</w:t>
      </w:r>
      <w:r w:rsidRPr="0089003F">
        <w:rPr>
          <w:color w:val="auto"/>
          <w:sz w:val="22"/>
          <w:szCs w:val="22"/>
          <w:shd w:val="clear" w:color="auto" w:fill="FFFFFF"/>
        </w:rPr>
        <w:t>a</w:t>
      </w:r>
      <w:r w:rsidRPr="001B6BB3">
        <w:rPr>
          <w:rFonts w:eastAsia="Times New Roman"/>
          <w:color w:val="auto"/>
          <w:sz w:val="22"/>
          <w:szCs w:val="22"/>
          <w:lang w:val="ru-RU"/>
        </w:rPr>
        <w:t>.</w:t>
      </w:r>
      <w:proofErr w:type="gramEnd"/>
    </w:p>
    <w:p w:rsidR="00C55CB0" w:rsidRPr="00115087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</w:p>
    <w:p w:rsidR="00C55CB0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 xml:space="preserve">Вид </w:t>
      </w:r>
      <w:proofErr w:type="spellStart"/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>процедури</w:t>
      </w:r>
      <w:proofErr w:type="spellEnd"/>
      <w:r w:rsidRPr="00115087">
        <w:rPr>
          <w:rFonts w:eastAsia="Times New Roman"/>
          <w:b/>
          <w:bCs/>
          <w:color w:val="auto"/>
          <w:sz w:val="22"/>
          <w:szCs w:val="22"/>
          <w:lang w:val="ru-RU"/>
        </w:rPr>
        <w:t xml:space="preserve"> </w:t>
      </w:r>
      <w:proofErr w:type="spellStart"/>
      <w:r w:rsidRPr="00131AA5">
        <w:rPr>
          <w:rFonts w:eastAsia="Times New Roman"/>
          <w:b/>
          <w:bCs/>
          <w:color w:val="auto"/>
          <w:sz w:val="22"/>
          <w:szCs w:val="22"/>
          <w:lang w:val="ru-RU"/>
        </w:rPr>
        <w:t>закупі</w:t>
      </w:r>
      <w:proofErr w:type="gramStart"/>
      <w:r w:rsidRPr="00131AA5">
        <w:rPr>
          <w:rFonts w:eastAsia="Times New Roman"/>
          <w:b/>
          <w:bCs/>
          <w:color w:val="auto"/>
          <w:sz w:val="22"/>
          <w:szCs w:val="22"/>
          <w:lang w:val="ru-RU"/>
        </w:rPr>
        <w:t>вл</w:t>
      </w:r>
      <w:proofErr w:type="gramEnd"/>
      <w:r w:rsidRPr="00131AA5">
        <w:rPr>
          <w:rFonts w:eastAsia="Times New Roman"/>
          <w:b/>
          <w:bCs/>
          <w:color w:val="auto"/>
          <w:sz w:val="22"/>
          <w:szCs w:val="22"/>
          <w:lang w:val="ru-RU"/>
        </w:rPr>
        <w:t>і</w:t>
      </w:r>
      <w:proofErr w:type="spellEnd"/>
      <w:r w:rsidRPr="00131AA5">
        <w:rPr>
          <w:rFonts w:eastAsia="Times New Roman"/>
          <w:b/>
          <w:bCs/>
          <w:color w:val="auto"/>
          <w:sz w:val="22"/>
          <w:szCs w:val="22"/>
          <w:lang w:val="ru-RU"/>
        </w:rPr>
        <w:t>:</w:t>
      </w:r>
      <w:r w:rsidRPr="00131AA5">
        <w:rPr>
          <w:rFonts w:eastAsia="Times New Roman"/>
          <w:color w:val="auto"/>
          <w:sz w:val="22"/>
          <w:szCs w:val="22"/>
        </w:rPr>
        <w:t> 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відкри</w:t>
      </w:r>
      <w:r>
        <w:rPr>
          <w:rFonts w:eastAsia="Times New Roman"/>
          <w:color w:val="auto"/>
          <w:sz w:val="22"/>
          <w:szCs w:val="22"/>
          <w:lang w:val="ru-RU"/>
        </w:rPr>
        <w:t>ті</w:t>
      </w:r>
      <w:proofErr w:type="spellEnd"/>
      <w:r>
        <w:rPr>
          <w:rFonts w:eastAsia="Times New Roman"/>
          <w:color w:val="auto"/>
          <w:sz w:val="22"/>
          <w:szCs w:val="22"/>
          <w:lang w:val="ru-RU"/>
        </w:rPr>
        <w:t xml:space="preserve"> торги у порядку </w:t>
      </w:r>
      <w:proofErr w:type="spellStart"/>
      <w:r>
        <w:rPr>
          <w:rFonts w:eastAsia="Times New Roman"/>
          <w:color w:val="auto"/>
          <w:sz w:val="22"/>
          <w:szCs w:val="22"/>
          <w:lang w:val="ru-RU"/>
        </w:rPr>
        <w:t>визначеному</w:t>
      </w:r>
      <w:proofErr w:type="spellEnd"/>
      <w:r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eastAsia="Times New Roman"/>
          <w:color w:val="auto"/>
          <w:sz w:val="22"/>
          <w:szCs w:val="22"/>
          <w:lang w:val="ru-RU"/>
        </w:rPr>
        <w:t>П</w:t>
      </w:r>
      <w:r w:rsidRPr="001655A5">
        <w:rPr>
          <w:rFonts w:eastAsia="Times New Roman"/>
          <w:color w:val="auto"/>
          <w:sz w:val="22"/>
          <w:szCs w:val="22"/>
          <w:lang w:val="ru-RU"/>
        </w:rPr>
        <w:t>остановою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Кабінету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Міністрів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України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«Про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затвердження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особливостей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здійснення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публічних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закупівель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товарів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,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робіт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і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послуг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для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замовників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,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передбачених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Законом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України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“Про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публічні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закупівлі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”, на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період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дії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правового режиму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воєнного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стану в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Україні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та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протягом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90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днів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з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дня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його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припинення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або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скасування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» </w:t>
      </w:r>
      <w:proofErr w:type="spellStart"/>
      <w:r w:rsidRPr="001655A5">
        <w:rPr>
          <w:rFonts w:eastAsia="Times New Roman"/>
          <w:color w:val="auto"/>
          <w:sz w:val="22"/>
          <w:szCs w:val="22"/>
          <w:lang w:val="ru-RU"/>
        </w:rPr>
        <w:t>від</w:t>
      </w:r>
      <w:proofErr w:type="spellEnd"/>
      <w:r w:rsidRPr="001655A5">
        <w:rPr>
          <w:rFonts w:eastAsia="Times New Roman"/>
          <w:color w:val="auto"/>
          <w:sz w:val="22"/>
          <w:szCs w:val="22"/>
          <w:lang w:val="ru-RU"/>
        </w:rPr>
        <w:t xml:space="preserve"> 12.10.2022 № 1178</w:t>
      </w:r>
      <w:r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(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надалі</w:t>
      </w:r>
      <w:proofErr w:type="spellEnd"/>
      <w:r w:rsidRPr="00115087">
        <w:rPr>
          <w:rFonts w:eastAsia="Times New Roman"/>
          <w:color w:val="auto"/>
          <w:sz w:val="22"/>
          <w:szCs w:val="22"/>
          <w:lang w:val="ru-RU"/>
        </w:rPr>
        <w:t xml:space="preserve"> – </w:t>
      </w:r>
      <w:proofErr w:type="spellStart"/>
      <w:r w:rsidRPr="00115087">
        <w:rPr>
          <w:rFonts w:eastAsia="Times New Roman"/>
          <w:color w:val="auto"/>
          <w:sz w:val="22"/>
          <w:szCs w:val="22"/>
          <w:lang w:val="ru-RU"/>
        </w:rPr>
        <w:t>Особливості</w:t>
      </w:r>
      <w:proofErr w:type="spellEnd"/>
      <w:r w:rsidRPr="00115087">
        <w:rPr>
          <w:rFonts w:eastAsia="Times New Roman"/>
          <w:color w:val="auto"/>
          <w:sz w:val="22"/>
          <w:szCs w:val="22"/>
          <w:lang w:val="ru-RU"/>
        </w:rPr>
        <w:t>).</w:t>
      </w:r>
    </w:p>
    <w:p w:rsidR="00C55CB0" w:rsidRPr="00115087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</w:p>
    <w:p w:rsidR="00C55CB0" w:rsidRPr="00115087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  <w:proofErr w:type="spell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Очікувана</w:t>
      </w:r>
      <w:proofErr w:type="spellEnd"/>
      <w:r w:rsidRPr="00115087">
        <w:rPr>
          <w:rFonts w:eastAsia="Times New Roman"/>
          <w:b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вартість</w:t>
      </w:r>
      <w:proofErr w:type="spellEnd"/>
      <w:r w:rsidRPr="00115087">
        <w:rPr>
          <w:rFonts w:eastAsia="Times New Roman"/>
          <w:b/>
          <w:color w:val="auto"/>
          <w:sz w:val="22"/>
          <w:szCs w:val="22"/>
          <w:lang w:val="ru-RU"/>
        </w:rPr>
        <w:t xml:space="preserve"> та </w:t>
      </w:r>
      <w:proofErr w:type="spell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обґрунтування</w:t>
      </w:r>
      <w:proofErr w:type="spellEnd"/>
      <w:r w:rsidRPr="00115087">
        <w:rPr>
          <w:rFonts w:eastAsia="Times New Roman"/>
          <w:b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очікуваної</w:t>
      </w:r>
      <w:proofErr w:type="spellEnd"/>
      <w:r w:rsidRPr="00115087">
        <w:rPr>
          <w:rFonts w:eastAsia="Times New Roman"/>
          <w:b/>
          <w:color w:val="auto"/>
          <w:sz w:val="22"/>
          <w:szCs w:val="22"/>
          <w:lang w:val="ru-RU"/>
        </w:rPr>
        <w:t xml:space="preserve"> </w:t>
      </w:r>
      <w:proofErr w:type="spell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вартості</w:t>
      </w:r>
      <w:proofErr w:type="spellEnd"/>
      <w:r w:rsidRPr="00115087">
        <w:rPr>
          <w:rFonts w:eastAsia="Times New Roman"/>
          <w:b/>
          <w:color w:val="auto"/>
          <w:sz w:val="22"/>
          <w:szCs w:val="22"/>
          <w:lang w:val="ru-RU"/>
        </w:rPr>
        <w:t xml:space="preserve"> предмета </w:t>
      </w:r>
      <w:proofErr w:type="spell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закупі</w:t>
      </w:r>
      <w:proofErr w:type="gramStart"/>
      <w:r w:rsidRPr="00115087">
        <w:rPr>
          <w:rFonts w:eastAsia="Times New Roman"/>
          <w:b/>
          <w:color w:val="auto"/>
          <w:sz w:val="22"/>
          <w:szCs w:val="22"/>
          <w:lang w:val="ru-RU"/>
        </w:rPr>
        <w:t>вл</w:t>
      </w:r>
      <w:proofErr w:type="gramEnd"/>
      <w:r w:rsidRPr="00115087">
        <w:rPr>
          <w:rFonts w:eastAsia="Times New Roman"/>
          <w:b/>
          <w:color w:val="auto"/>
          <w:sz w:val="22"/>
          <w:szCs w:val="22"/>
          <w:lang w:val="ru-RU"/>
        </w:rPr>
        <w:t>і</w:t>
      </w:r>
      <w:proofErr w:type="spellEnd"/>
      <w:r w:rsidRPr="00115087">
        <w:rPr>
          <w:rFonts w:eastAsia="Times New Roman"/>
          <w:color w:val="auto"/>
          <w:sz w:val="22"/>
          <w:szCs w:val="22"/>
          <w:lang w:val="ru-RU"/>
        </w:rPr>
        <w:t>:</w:t>
      </w:r>
    </w:p>
    <w:p w:rsidR="00C55CB0" w:rsidRPr="00955801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955801">
        <w:rPr>
          <w:rFonts w:eastAsia="Times New Roman"/>
          <w:bCs/>
          <w:color w:val="auto"/>
          <w:sz w:val="22"/>
          <w:szCs w:val="22"/>
          <w:lang w:val="ru-RU"/>
        </w:rPr>
        <w:t xml:space="preserve">900 000,00 </w:t>
      </w:r>
      <w:proofErr w:type="spellStart"/>
      <w:r w:rsidRPr="00955801">
        <w:rPr>
          <w:rFonts w:eastAsia="Times New Roman"/>
          <w:color w:val="auto"/>
          <w:sz w:val="22"/>
          <w:szCs w:val="22"/>
          <w:lang w:val="ru-RU"/>
        </w:rPr>
        <w:t>грн</w:t>
      </w:r>
      <w:proofErr w:type="spellEnd"/>
      <w:r w:rsidRPr="00955801">
        <w:rPr>
          <w:rFonts w:eastAsia="Times New Roman"/>
          <w:color w:val="auto"/>
          <w:sz w:val="22"/>
          <w:szCs w:val="22"/>
          <w:lang w:val="ru-RU"/>
        </w:rPr>
        <w:t>. (</w:t>
      </w:r>
      <w:proofErr w:type="spellStart"/>
      <w:r w:rsidRPr="00955801">
        <w:rPr>
          <w:rFonts w:eastAsia="Times New Roman"/>
          <w:color w:val="auto"/>
          <w:sz w:val="22"/>
          <w:szCs w:val="22"/>
          <w:lang w:val="ru-RU"/>
        </w:rPr>
        <w:t>Дев’ятсот</w:t>
      </w:r>
      <w:proofErr w:type="spellEnd"/>
      <w:r w:rsidRPr="00955801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955801">
        <w:rPr>
          <w:rFonts w:eastAsia="Times New Roman"/>
          <w:color w:val="auto"/>
          <w:sz w:val="22"/>
          <w:szCs w:val="22"/>
          <w:lang w:val="ru-RU"/>
        </w:rPr>
        <w:t>тисяч</w:t>
      </w:r>
      <w:proofErr w:type="spellEnd"/>
      <w:r w:rsidRPr="00955801">
        <w:rPr>
          <w:rFonts w:eastAsia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955801">
        <w:rPr>
          <w:rFonts w:eastAsia="Times New Roman"/>
          <w:color w:val="auto"/>
          <w:sz w:val="22"/>
          <w:szCs w:val="22"/>
          <w:lang w:val="ru-RU"/>
        </w:rPr>
        <w:t>гривень</w:t>
      </w:r>
      <w:proofErr w:type="spellEnd"/>
      <w:r w:rsidRPr="00955801">
        <w:rPr>
          <w:rFonts w:eastAsia="Times New Roman"/>
          <w:color w:val="auto"/>
          <w:sz w:val="22"/>
          <w:szCs w:val="22"/>
          <w:lang w:val="ru-RU"/>
        </w:rPr>
        <w:t xml:space="preserve"> 00 коп.), </w:t>
      </w:r>
      <w:proofErr w:type="spellStart"/>
      <w:r w:rsidRPr="00955801">
        <w:rPr>
          <w:rFonts w:eastAsia="Times New Roman"/>
          <w:color w:val="auto"/>
          <w:sz w:val="22"/>
          <w:szCs w:val="22"/>
          <w:lang w:val="ru-RU"/>
        </w:rPr>
        <w:t>з</w:t>
      </w:r>
      <w:proofErr w:type="spellEnd"/>
      <w:r w:rsidRPr="00955801">
        <w:rPr>
          <w:rFonts w:eastAsia="Times New Roman"/>
          <w:color w:val="auto"/>
          <w:sz w:val="22"/>
          <w:szCs w:val="22"/>
          <w:lang w:val="ru-RU"/>
        </w:rPr>
        <w:t xml:space="preserve"> ПДВ.</w:t>
      </w:r>
    </w:p>
    <w:p w:rsidR="00C55CB0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uk-UA"/>
        </w:rPr>
      </w:pPr>
      <w:r w:rsidRPr="00955801">
        <w:rPr>
          <w:rFonts w:eastAsia="Times New Roman"/>
          <w:color w:val="auto"/>
          <w:sz w:val="22"/>
          <w:szCs w:val="22"/>
          <w:lang w:val="uk-UA"/>
        </w:rPr>
        <w:t>Очікувану вартість предмета закупівлі, розміру бюджетного призначення розраховано на підставі наданих комерційних пропозиції, шляхом виведення середньої вартості на підставі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Відповідно до вищезазначеного Наказу Замовник під час визначення очікуваної вартості закупівлі може використати декілька методів її розрахунку, одним з яких є Метод порівняння ринкових цін. Даний метод полягає в ціновому аналізі та зборі актуальної інформації з ринку товарів/послуг, направленні запитів комерційних пропозицій до компаній виробників та постачальників відповідних товарів/послуг (не менше 3-х письмових запитів цінових пропозицій).</w:t>
      </w:r>
    </w:p>
    <w:p w:rsidR="00C55CB0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uk-UA"/>
        </w:rPr>
      </w:pPr>
    </w:p>
    <w:p w:rsidR="00C55CB0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sz w:val="22"/>
          <w:szCs w:val="22"/>
          <w:lang w:val="uk-UA"/>
        </w:rPr>
      </w:pPr>
      <w:r w:rsidRPr="00417478">
        <w:rPr>
          <w:rFonts w:eastAsia="Times New Roman"/>
          <w:b/>
          <w:bCs/>
          <w:color w:val="auto"/>
          <w:sz w:val="22"/>
          <w:szCs w:val="22"/>
          <w:lang w:val="uk-UA"/>
        </w:rPr>
        <w:t>Розмір бюджетного призначення</w:t>
      </w:r>
      <w:r w:rsidRPr="000D3B91">
        <w:rPr>
          <w:rFonts w:eastAsia="Times New Roman"/>
          <w:b/>
          <w:bCs/>
          <w:iCs/>
          <w:color w:val="auto"/>
          <w:sz w:val="22"/>
          <w:szCs w:val="22"/>
          <w:lang w:val="uk-UA"/>
        </w:rPr>
        <w:t xml:space="preserve">: </w:t>
      </w:r>
      <w:r>
        <w:rPr>
          <w:rFonts w:eastAsia="Times New Roman"/>
          <w:bCs/>
          <w:color w:val="auto"/>
          <w:sz w:val="22"/>
          <w:szCs w:val="22"/>
          <w:lang w:val="uk-UA"/>
        </w:rPr>
        <w:t xml:space="preserve">Розмір бюджетного призначення визначено відповідно до потреби у товарі та проекту кошторису Виконавчого комітету </w:t>
      </w:r>
      <w:proofErr w:type="spellStart"/>
      <w:r>
        <w:rPr>
          <w:rFonts w:eastAsia="Times New Roman"/>
          <w:bCs/>
          <w:color w:val="auto"/>
          <w:sz w:val="22"/>
          <w:szCs w:val="22"/>
          <w:lang w:val="uk-UA"/>
        </w:rPr>
        <w:t>Першотравневської</w:t>
      </w:r>
      <w:proofErr w:type="spellEnd"/>
      <w:r>
        <w:rPr>
          <w:rFonts w:eastAsia="Times New Roman"/>
          <w:bCs/>
          <w:color w:val="auto"/>
          <w:sz w:val="22"/>
          <w:szCs w:val="22"/>
          <w:lang w:val="uk-UA"/>
        </w:rPr>
        <w:t xml:space="preserve"> сільської ради Нікопольського району Дніпропетровської області на </w:t>
      </w:r>
      <w:r w:rsidRPr="00F1664C">
        <w:rPr>
          <w:rFonts w:eastAsia="Times New Roman"/>
          <w:bCs/>
          <w:color w:val="auto"/>
          <w:sz w:val="22"/>
          <w:szCs w:val="22"/>
          <w:lang w:val="uk-UA"/>
        </w:rPr>
        <w:t>202</w:t>
      </w:r>
      <w:r w:rsidRPr="0089003F">
        <w:rPr>
          <w:rFonts w:eastAsia="Times New Roman"/>
          <w:bCs/>
          <w:color w:val="auto"/>
          <w:sz w:val="22"/>
          <w:szCs w:val="22"/>
          <w:lang w:val="ru-RU"/>
        </w:rPr>
        <w:t>5</w:t>
      </w:r>
      <w:r>
        <w:rPr>
          <w:rFonts w:eastAsia="Times New Roman"/>
          <w:bCs/>
          <w:color w:val="auto"/>
          <w:sz w:val="22"/>
          <w:szCs w:val="22"/>
          <w:lang w:val="uk-UA"/>
        </w:rPr>
        <w:t xml:space="preserve"> рік.</w:t>
      </w:r>
    </w:p>
    <w:p w:rsidR="00C55CB0" w:rsidRPr="00417478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uk-UA"/>
        </w:rPr>
      </w:pPr>
    </w:p>
    <w:p w:rsidR="00C55CB0" w:rsidRPr="002E48E6" w:rsidRDefault="00C55CB0" w:rsidP="00C55CB0">
      <w:pPr>
        <w:widowControl w:val="0"/>
        <w:spacing w:after="0" w:line="240" w:lineRule="auto"/>
        <w:ind w:firstLine="459"/>
        <w:jc w:val="both"/>
        <w:rPr>
          <w:rFonts w:eastAsia="Times New Roman"/>
          <w:color w:val="auto"/>
          <w:sz w:val="22"/>
          <w:szCs w:val="22"/>
          <w:lang w:val="uk-UA"/>
        </w:rPr>
      </w:pPr>
      <w:r w:rsidRPr="002E48E6">
        <w:rPr>
          <w:rFonts w:eastAsia="Times New Roman"/>
          <w:b/>
          <w:bCs/>
          <w:color w:val="auto"/>
          <w:sz w:val="22"/>
          <w:szCs w:val="22"/>
          <w:lang w:val="uk-UA"/>
        </w:rPr>
        <w:t>Нормативно-правове регулювання</w:t>
      </w:r>
      <w:r w:rsidRPr="00955801">
        <w:rPr>
          <w:rFonts w:eastAsia="Times New Roman"/>
          <w:b/>
          <w:bCs/>
          <w:color w:val="auto"/>
          <w:sz w:val="22"/>
          <w:szCs w:val="22"/>
          <w:lang w:val="uk-UA"/>
        </w:rPr>
        <w:t>.</w:t>
      </w:r>
      <w:r w:rsidRPr="0056669B">
        <w:rPr>
          <w:rFonts w:eastAsia="Times New Roman"/>
          <w:color w:val="auto"/>
          <w:sz w:val="22"/>
          <w:szCs w:val="22"/>
        </w:rPr>
        <w:t> </w:t>
      </w:r>
      <w:r>
        <w:rPr>
          <w:rFonts w:eastAsia="Times New Roman"/>
          <w:bCs/>
          <w:color w:val="auto"/>
          <w:sz w:val="22"/>
          <w:szCs w:val="22"/>
          <w:lang w:val="uk-UA" w:eastAsia="uk-UA"/>
        </w:rPr>
        <w:t>П</w:t>
      </w:r>
      <w:r w:rsidRPr="002E48E6">
        <w:rPr>
          <w:rFonts w:eastAsia="Times New Roman"/>
          <w:bCs/>
          <w:color w:val="auto"/>
          <w:sz w:val="22"/>
          <w:szCs w:val="22"/>
          <w:lang w:val="uk-UA" w:eastAsia="uk-UA"/>
        </w:rPr>
        <w:t>аливні брикети з лушпиння соняшнику за органолептичними, фізико-хімічними показниками, повинні відповідати всім вимогам, зазначеним у ДСТУ 7124:2009 "Лушпиння соняшникове пресоване гранульоване. Технічні умови".</w:t>
      </w:r>
    </w:p>
    <w:p w:rsidR="00C55CB0" w:rsidRPr="002E48E6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uk-UA"/>
        </w:rPr>
      </w:pPr>
    </w:p>
    <w:p w:rsidR="00C55CB0" w:rsidRPr="00C55CB0" w:rsidRDefault="00C55CB0" w:rsidP="00C55CB0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2"/>
          <w:szCs w:val="22"/>
          <w:lang w:val="uk-UA"/>
        </w:rPr>
      </w:pPr>
      <w:r w:rsidRPr="00C55CB0">
        <w:rPr>
          <w:rFonts w:eastAsia="Times New Roman"/>
          <w:b/>
          <w:color w:val="auto"/>
          <w:sz w:val="22"/>
          <w:szCs w:val="22"/>
          <w:lang w:val="uk-UA"/>
        </w:rPr>
        <w:t xml:space="preserve">Якісні, кількісні та технічні характеристики предмета закупівлі: </w:t>
      </w:r>
    </w:p>
    <w:p w:rsidR="00C55CB0" w:rsidRPr="002A6499" w:rsidRDefault="00C55CB0" w:rsidP="00C55CB0">
      <w:pPr>
        <w:spacing w:after="0" w:line="240" w:lineRule="auto"/>
        <w:jc w:val="both"/>
        <w:rPr>
          <w:rFonts w:eastAsia="Times New Roman"/>
          <w:b/>
          <w:color w:val="auto"/>
          <w:spacing w:val="-5"/>
          <w:lang w:val="uk-UA" w:eastAsia="ru-RU"/>
        </w:rPr>
      </w:pPr>
      <w:r w:rsidRPr="002A6499">
        <w:rPr>
          <w:rFonts w:eastAsia="Calibri"/>
          <w:color w:val="auto"/>
          <w:lang w:val="uk-UA"/>
        </w:rPr>
        <w:t xml:space="preserve">Технічні характеристики предмету закупівлі </w:t>
      </w:r>
      <w:r w:rsidRPr="002A6499">
        <w:rPr>
          <w:rFonts w:eastAsia="Calibri"/>
          <w:b/>
          <w:color w:val="auto"/>
          <w:lang w:val="uk-UA"/>
        </w:rPr>
        <w:t xml:space="preserve">Паливні брикети з лушпиння соняшнику згідно коду </w:t>
      </w:r>
      <w:r w:rsidRPr="002A6499">
        <w:rPr>
          <w:rFonts w:eastAsia="Calibri"/>
          <w:b/>
          <w:color w:val="auto"/>
        </w:rPr>
        <w:t>CPV</w:t>
      </w:r>
      <w:r w:rsidRPr="002A6499">
        <w:rPr>
          <w:rFonts w:eastAsia="Calibri"/>
          <w:b/>
          <w:color w:val="auto"/>
          <w:lang w:val="uk-UA"/>
        </w:rPr>
        <w:t xml:space="preserve"> за </w:t>
      </w:r>
      <w:proofErr w:type="spellStart"/>
      <w:r w:rsidRPr="002A6499">
        <w:rPr>
          <w:rFonts w:eastAsia="Calibri"/>
          <w:b/>
          <w:color w:val="auto"/>
          <w:lang w:val="uk-UA"/>
        </w:rPr>
        <w:t>ДК</w:t>
      </w:r>
      <w:proofErr w:type="spellEnd"/>
      <w:r w:rsidRPr="002A6499">
        <w:rPr>
          <w:rFonts w:eastAsia="Calibri"/>
          <w:b/>
          <w:color w:val="auto"/>
          <w:lang w:val="uk-UA"/>
        </w:rPr>
        <w:t xml:space="preserve"> 021:2015 – 09110000-3 Тверде паливо</w:t>
      </w:r>
      <w:r w:rsidRPr="002A6499">
        <w:rPr>
          <w:rFonts w:eastAsia="Calibri"/>
          <w:color w:val="auto"/>
          <w:lang w:val="uk-UA"/>
        </w:rPr>
        <w:t xml:space="preserve"> зазначені нижче:</w:t>
      </w:r>
    </w:p>
    <w:p w:rsidR="00C55CB0" w:rsidRPr="002A6499" w:rsidRDefault="00C55CB0" w:rsidP="00C55CB0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C55CB0" w:rsidRPr="002A6499" w:rsidRDefault="00C55CB0" w:rsidP="00C55CB0">
      <w:pPr>
        <w:spacing w:after="0" w:line="240" w:lineRule="auto"/>
        <w:ind w:right="100"/>
        <w:jc w:val="center"/>
        <w:rPr>
          <w:rFonts w:eastAsia="Calibri"/>
          <w:color w:val="auto"/>
          <w:lang w:val="uk-UA"/>
        </w:rPr>
      </w:pPr>
      <w:r w:rsidRPr="002A6499">
        <w:rPr>
          <w:rFonts w:eastAsia="Times New Roman"/>
          <w:b/>
          <w:bCs/>
          <w:color w:val="auto"/>
          <w:lang w:val="uk-UA"/>
        </w:rPr>
        <w:t>ТЕХНІЧНА СПЕЦИФІКАЦІЯ</w:t>
      </w:r>
    </w:p>
    <w:tbl>
      <w:tblPr>
        <w:tblW w:w="9156" w:type="dxa"/>
        <w:jc w:val="center"/>
        <w:tblInd w:w="-688" w:type="dxa"/>
        <w:tblLayout w:type="fixed"/>
        <w:tblLook w:val="04A0"/>
      </w:tblPr>
      <w:tblGrid>
        <w:gridCol w:w="3140"/>
        <w:gridCol w:w="6016"/>
      </w:tblGrid>
      <w:tr w:rsidR="00C55CB0" w:rsidRPr="002A6499" w:rsidTr="00B86FB0">
        <w:trPr>
          <w:trHeight w:val="413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/>
                <w:bCs/>
                <w:color w:val="auto"/>
                <w:lang w:val="uk-UA" w:eastAsia="ar-SA"/>
              </w:rPr>
              <w:t>Параметри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/>
                <w:bCs/>
                <w:color w:val="auto"/>
                <w:lang w:val="uk-UA" w:eastAsia="ar-SA"/>
              </w:rPr>
              <w:t>Вимоги</w:t>
            </w:r>
          </w:p>
        </w:tc>
      </w:tr>
      <w:tr w:rsidR="00C55CB0" w:rsidRPr="002A6499" w:rsidTr="00B86FB0">
        <w:trPr>
          <w:trHeight w:val="413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Довжина</w:t>
            </w:r>
            <w:proofErr w:type="spellEnd"/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не менше 15-20 см</w:t>
            </w:r>
          </w:p>
        </w:tc>
      </w:tr>
      <w:tr w:rsidR="00C55CB0" w:rsidRPr="002A6499" w:rsidTr="00B86FB0">
        <w:trPr>
          <w:trHeight w:val="413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Діаметр</w:t>
            </w:r>
            <w:proofErr w:type="spellEnd"/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не менше 50 мм</w:t>
            </w:r>
          </w:p>
        </w:tc>
      </w:tr>
      <w:tr w:rsidR="00C55CB0" w:rsidRPr="002A6499" w:rsidTr="00B86FB0">
        <w:trPr>
          <w:trHeight w:val="413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lastRenderedPageBreak/>
              <w:t>Зольність</w:t>
            </w:r>
            <w:proofErr w:type="spellEnd"/>
            <w:r w:rsidRPr="002A6499">
              <w:rPr>
                <w:rFonts w:eastAsia="Calibri"/>
                <w:bCs/>
                <w:color w:val="auto"/>
                <w:lang w:val="uk-UA" w:eastAsia="ar-SA"/>
              </w:rPr>
              <w:t>, %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ru-RU" w:eastAsia="ar-SA"/>
              </w:rPr>
              <w:t>≤</w:t>
            </w:r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 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>4,0</w:t>
            </w:r>
          </w:p>
        </w:tc>
      </w:tr>
      <w:tr w:rsidR="00C55CB0" w:rsidRPr="002A6499" w:rsidTr="00B86FB0">
        <w:trPr>
          <w:trHeight w:val="419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Вміст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вологи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та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летких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речовин</w:t>
            </w:r>
            <w:proofErr w:type="spellEnd"/>
            <w:r w:rsidRPr="002A6499">
              <w:rPr>
                <w:rFonts w:eastAsia="Calibri"/>
                <w:bCs/>
                <w:color w:val="auto"/>
                <w:lang w:val="uk-UA" w:eastAsia="ar-SA"/>
              </w:rPr>
              <w:t>, %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ru-RU" w:eastAsia="ar-SA"/>
              </w:rPr>
              <w:t>≤</w:t>
            </w:r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 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>12,0</w:t>
            </w:r>
          </w:p>
        </w:tc>
      </w:tr>
      <w:tr w:rsidR="00C55CB0" w:rsidRPr="002A6499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Т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еплота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згорання</w:t>
            </w:r>
            <w:proofErr w:type="spellEnd"/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, 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МДж/кг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ru-RU" w:eastAsia="ar-SA"/>
              </w:rPr>
              <w:t>≥</w:t>
            </w:r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 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15,0 </w:t>
            </w:r>
          </w:p>
        </w:tc>
      </w:tr>
      <w:tr w:rsidR="00C55CB0" w:rsidRPr="002A6499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Вміст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сірки</w:t>
            </w:r>
            <w:proofErr w:type="spellEnd"/>
            <w:r w:rsidRPr="002A6499">
              <w:rPr>
                <w:rFonts w:eastAsia="Calibri"/>
                <w:bCs/>
                <w:color w:val="auto"/>
                <w:lang w:val="uk-UA" w:eastAsia="ar-SA"/>
              </w:rPr>
              <w:t>, %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ru-RU" w:eastAsia="ar-SA"/>
              </w:rPr>
              <w:t>≤</w:t>
            </w:r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 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>0,23</w:t>
            </w:r>
          </w:p>
        </w:tc>
      </w:tr>
      <w:tr w:rsidR="00C55CB0" w:rsidRPr="00C55CB0" w:rsidTr="00B86FB0">
        <w:trPr>
          <w:trHeight w:val="403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iCs/>
                <w:color w:val="auto"/>
                <w:lang w:val="uk-UA" w:eastAsia="ar-SA"/>
              </w:rPr>
              <w:t>Фасування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iCs/>
                <w:color w:val="auto"/>
                <w:lang w:val="ru-RU" w:eastAsia="ar-SA"/>
              </w:rPr>
            </w:pPr>
            <w:proofErr w:type="spellStart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Мішки</w:t>
            </w:r>
            <w:proofErr w:type="spellEnd"/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 </w:t>
            </w:r>
            <w:r w:rsidRPr="002A6499">
              <w:rPr>
                <w:rFonts w:eastAsia="Calibri"/>
                <w:iCs/>
                <w:color w:val="auto"/>
                <w:lang w:val="uk-UA" w:eastAsia="ar-SA"/>
              </w:rPr>
              <w:t>д</w:t>
            </w:r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о </w:t>
            </w:r>
            <w:r w:rsidRPr="002A6499">
              <w:rPr>
                <w:rFonts w:eastAsia="Calibri"/>
                <w:iCs/>
                <w:color w:val="auto"/>
                <w:lang w:val="uk-UA" w:eastAsia="ar-SA"/>
              </w:rPr>
              <w:t>40</w:t>
            </w:r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 кг. </w:t>
            </w:r>
          </w:p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r w:rsidRPr="002A6499">
              <w:rPr>
                <w:rFonts w:eastAsia="Calibri"/>
                <w:iCs/>
                <w:color w:val="auto"/>
                <w:lang w:val="ru-RU" w:eastAsia="ar-SA"/>
              </w:rPr>
              <w:t>(</w:t>
            </w:r>
            <w:proofErr w:type="spellStart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мішки</w:t>
            </w:r>
            <w:proofErr w:type="spellEnd"/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повинні</w:t>
            </w:r>
            <w:proofErr w:type="spellEnd"/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 бути </w:t>
            </w:r>
            <w:proofErr w:type="spellStart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ці</w:t>
            </w:r>
            <w:proofErr w:type="gramStart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лими</w:t>
            </w:r>
            <w:proofErr w:type="spellEnd"/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 та</w:t>
            </w:r>
            <w:proofErr w:type="gramEnd"/>
            <w:r w:rsidRPr="002A6499">
              <w:rPr>
                <w:rFonts w:eastAsia="Calibri"/>
                <w:i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неушкодженими</w:t>
            </w:r>
            <w:proofErr w:type="spellEnd"/>
            <w:r w:rsidRPr="002A6499">
              <w:rPr>
                <w:rFonts w:eastAsia="Calibri"/>
                <w:iCs/>
                <w:color w:val="auto"/>
                <w:lang w:val="ru-RU" w:eastAsia="ar-SA"/>
              </w:rPr>
              <w:t>)</w:t>
            </w:r>
          </w:p>
        </w:tc>
      </w:tr>
      <w:tr w:rsidR="00C55CB0" w:rsidRPr="002A6499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Сировина</w:t>
            </w:r>
            <w:proofErr w:type="spellEnd"/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Лушпиння соняшнику без домішок</w:t>
            </w:r>
          </w:p>
        </w:tc>
      </w:tr>
      <w:tr w:rsidR="00C55CB0" w:rsidRPr="002A6499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Зовнішній вигляд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Брикети циліндричної форми</w:t>
            </w:r>
          </w:p>
        </w:tc>
      </w:tr>
      <w:tr w:rsidR="00C55CB0" w:rsidRPr="002A6499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Агрегатний стан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Тверда органічна речовина</w:t>
            </w:r>
          </w:p>
        </w:tc>
      </w:tr>
      <w:tr w:rsidR="00C55CB0" w:rsidRPr="002A6499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Мета використання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uk-UA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Для котелень</w:t>
            </w:r>
          </w:p>
        </w:tc>
      </w:tr>
      <w:tr w:rsidR="00C55CB0" w:rsidRPr="00C55CB0" w:rsidTr="00B86FB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Примітка</w:t>
            </w:r>
            <w:proofErr w:type="spellEnd"/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B0" w:rsidRPr="002A6499" w:rsidRDefault="00C55CB0" w:rsidP="00B86FB0">
            <w:pPr>
              <w:suppressAutoHyphens/>
              <w:snapToGrid w:val="0"/>
              <w:spacing w:after="0" w:line="240" w:lineRule="auto"/>
              <w:jc w:val="both"/>
              <w:rPr>
                <w:rFonts w:eastAsia="Calibri"/>
                <w:bCs/>
                <w:color w:val="auto"/>
                <w:lang w:val="ru-RU" w:eastAsia="ar-SA"/>
              </w:rPr>
            </w:pPr>
            <w:r w:rsidRPr="002A6499">
              <w:rPr>
                <w:rFonts w:eastAsia="Calibri"/>
                <w:bCs/>
                <w:color w:val="auto"/>
                <w:lang w:val="uk-UA" w:eastAsia="ar-SA"/>
              </w:rPr>
              <w:t>У</w:t>
            </w:r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складі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r w:rsidRPr="002A6499">
              <w:rPr>
                <w:rFonts w:eastAsia="Calibri"/>
                <w:bCs/>
                <w:color w:val="auto"/>
                <w:lang w:val="uk-UA" w:eastAsia="ar-SA"/>
              </w:rPr>
              <w:t xml:space="preserve">брикетів </w:t>
            </w:r>
            <w:proofErr w:type="spellStart"/>
            <w:r w:rsidRPr="002A6499">
              <w:rPr>
                <w:rFonts w:eastAsia="Calibri"/>
                <w:color w:val="auto"/>
                <w:lang w:val="ru-RU" w:eastAsia="ar-SA"/>
              </w:rPr>
              <w:t>з</w:t>
            </w:r>
            <w:proofErr w:type="spellEnd"/>
            <w:r w:rsidRPr="002A6499">
              <w:rPr>
                <w:rFonts w:eastAsia="Calibri"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color w:val="auto"/>
                <w:lang w:val="ru-RU" w:eastAsia="ar-SA"/>
              </w:rPr>
              <w:t>лушпиння</w:t>
            </w:r>
            <w:proofErr w:type="spellEnd"/>
            <w:r w:rsidRPr="002A6499">
              <w:rPr>
                <w:rFonts w:eastAsia="Calibri"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color w:val="auto"/>
                <w:lang w:val="ru-RU" w:eastAsia="ar-SA"/>
              </w:rPr>
              <w:t>соняшнику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не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допускаються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сторонні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матеріали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(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такі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як клей,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пластмаси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,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мінеральні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домішки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,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металеві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включення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 xml:space="preserve"> та </w:t>
            </w:r>
            <w:proofErr w:type="spellStart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інші</w:t>
            </w:r>
            <w:proofErr w:type="spellEnd"/>
            <w:r w:rsidRPr="002A6499">
              <w:rPr>
                <w:rFonts w:eastAsia="Calibri"/>
                <w:bCs/>
                <w:color w:val="auto"/>
                <w:lang w:val="ru-RU" w:eastAsia="ar-SA"/>
              </w:rPr>
              <w:t>).</w:t>
            </w:r>
          </w:p>
        </w:tc>
      </w:tr>
    </w:tbl>
    <w:p w:rsidR="00C55CB0" w:rsidRPr="002A6499" w:rsidRDefault="00C55CB0" w:rsidP="00C55CB0">
      <w:pPr>
        <w:spacing w:after="0" w:line="240" w:lineRule="auto"/>
        <w:rPr>
          <w:rFonts w:eastAsia="Calibri"/>
          <w:color w:val="auto"/>
          <w:lang w:val="ru-RU"/>
        </w:rPr>
      </w:pPr>
    </w:p>
    <w:p w:rsidR="00C55CB0" w:rsidRPr="002A6499" w:rsidRDefault="00C55CB0" w:rsidP="00C55CB0">
      <w:pPr>
        <w:spacing w:after="0" w:line="240" w:lineRule="auto"/>
        <w:ind w:firstLine="539"/>
        <w:jc w:val="both"/>
        <w:rPr>
          <w:rFonts w:eastAsia="Times New Roman"/>
          <w:bCs/>
          <w:color w:val="auto"/>
          <w:szCs w:val="20"/>
          <w:lang w:val="uk-UA" w:eastAsia="ru-RU"/>
        </w:rPr>
      </w:pPr>
      <w:proofErr w:type="spellStart"/>
      <w:r w:rsidRPr="002A6499">
        <w:rPr>
          <w:rFonts w:eastAsia="Calibri"/>
          <w:bCs/>
          <w:color w:val="auto"/>
          <w:lang w:val="ru-RU" w:eastAsia="ar-SA"/>
        </w:rPr>
        <w:t>Обсяг</w:t>
      </w:r>
      <w:proofErr w:type="spellEnd"/>
      <w:r w:rsidRPr="002A6499">
        <w:rPr>
          <w:rFonts w:eastAsia="Calibri"/>
          <w:bCs/>
          <w:color w:val="auto"/>
          <w:lang w:val="ru-RU" w:eastAsia="ar-SA"/>
        </w:rPr>
        <w:t xml:space="preserve"> </w:t>
      </w:r>
      <w:proofErr w:type="spellStart"/>
      <w:r w:rsidRPr="002A6499">
        <w:rPr>
          <w:rFonts w:eastAsia="Calibri"/>
          <w:bCs/>
          <w:color w:val="auto"/>
          <w:lang w:val="ru-RU" w:eastAsia="ar-SA"/>
        </w:rPr>
        <w:t>закупі</w:t>
      </w:r>
      <w:proofErr w:type="gramStart"/>
      <w:r w:rsidRPr="002A6499">
        <w:rPr>
          <w:rFonts w:eastAsia="Calibri"/>
          <w:bCs/>
          <w:color w:val="auto"/>
          <w:lang w:val="ru-RU" w:eastAsia="ar-SA"/>
        </w:rPr>
        <w:t>вл</w:t>
      </w:r>
      <w:proofErr w:type="gramEnd"/>
      <w:r w:rsidRPr="002A6499">
        <w:rPr>
          <w:rFonts w:eastAsia="Calibri"/>
          <w:bCs/>
          <w:color w:val="auto"/>
          <w:lang w:val="ru-RU" w:eastAsia="ar-SA"/>
        </w:rPr>
        <w:t>і</w:t>
      </w:r>
      <w:proofErr w:type="spellEnd"/>
      <w:r w:rsidRPr="002A6499">
        <w:rPr>
          <w:rFonts w:eastAsia="Calibri"/>
          <w:bCs/>
          <w:color w:val="auto"/>
          <w:lang w:val="ru-RU" w:eastAsia="ar-SA"/>
        </w:rPr>
        <w:t xml:space="preserve">: </w:t>
      </w:r>
      <w:r w:rsidRPr="002A6499">
        <w:rPr>
          <w:rFonts w:eastAsia="Calibri"/>
          <w:bCs/>
          <w:color w:val="auto"/>
          <w:lang w:val="uk-UA" w:eastAsia="ar-SA"/>
        </w:rPr>
        <w:t>150 тонн.</w:t>
      </w:r>
    </w:p>
    <w:p w:rsidR="00C55CB0" w:rsidRPr="002A6499" w:rsidRDefault="00C55CB0" w:rsidP="00C55CB0">
      <w:pPr>
        <w:spacing w:after="0" w:line="240" w:lineRule="auto"/>
        <w:ind w:firstLine="708"/>
        <w:jc w:val="both"/>
        <w:rPr>
          <w:rFonts w:eastAsia="Calibri"/>
          <w:color w:val="auto"/>
          <w:lang w:val="uk-UA" w:bidi="he-IL"/>
        </w:rPr>
      </w:pPr>
    </w:p>
    <w:p w:rsidR="00C55CB0" w:rsidRPr="002A6499" w:rsidRDefault="00C55CB0" w:rsidP="00C55CB0">
      <w:pPr>
        <w:spacing w:after="120" w:line="240" w:lineRule="auto"/>
        <w:ind w:firstLine="708"/>
        <w:jc w:val="both"/>
        <w:rPr>
          <w:rFonts w:eastAsia="Calibri"/>
          <w:color w:val="auto"/>
          <w:lang w:val="uk-UA" w:bidi="he-IL"/>
        </w:rPr>
      </w:pPr>
      <w:r w:rsidRPr="002A6499">
        <w:rPr>
          <w:rFonts w:eastAsia="Calibri"/>
          <w:color w:val="auto"/>
          <w:lang w:val="uk-UA" w:bidi="he-IL"/>
        </w:rPr>
        <w:t>Доставка, завантаження та розвантаження товару здійснюється автотранспортом Учасника-переможця за власні кошти</w:t>
      </w:r>
      <w:r w:rsidRPr="002A6499">
        <w:rPr>
          <w:rFonts w:eastAsia="Calibri"/>
          <w:color w:val="auto"/>
          <w:lang w:val="ru-RU" w:eastAsia="uk-UA"/>
        </w:rPr>
        <w:t xml:space="preserve"> </w:t>
      </w:r>
      <w:proofErr w:type="spellStart"/>
      <w:r w:rsidRPr="002A6499">
        <w:rPr>
          <w:rFonts w:eastAsia="Calibri"/>
          <w:color w:val="auto"/>
          <w:lang w:val="ru-RU" w:eastAsia="uk-UA"/>
        </w:rPr>
        <w:t>відповідно</w:t>
      </w:r>
      <w:proofErr w:type="spellEnd"/>
      <w:r w:rsidRPr="002A6499">
        <w:rPr>
          <w:rFonts w:eastAsia="Calibri"/>
          <w:color w:val="auto"/>
          <w:lang w:val="ru-RU" w:eastAsia="uk-UA"/>
        </w:rPr>
        <w:t xml:space="preserve"> до заявок </w:t>
      </w:r>
      <w:proofErr w:type="spellStart"/>
      <w:r w:rsidRPr="002A6499">
        <w:rPr>
          <w:rFonts w:eastAsia="Calibri"/>
          <w:color w:val="auto"/>
          <w:lang w:val="ru-RU" w:eastAsia="uk-UA"/>
        </w:rPr>
        <w:t>спеціальним</w:t>
      </w:r>
      <w:proofErr w:type="spellEnd"/>
      <w:r w:rsidRPr="002A6499">
        <w:rPr>
          <w:rFonts w:eastAsia="Calibri"/>
          <w:color w:val="auto"/>
          <w:lang w:val="ru-RU" w:eastAsia="uk-UA"/>
        </w:rPr>
        <w:t xml:space="preserve"> транспортом </w:t>
      </w:r>
      <w:r w:rsidRPr="002A6499">
        <w:rPr>
          <w:rFonts w:eastAsia="Calibri"/>
          <w:color w:val="auto"/>
          <w:lang w:val="uk-UA" w:eastAsia="uk-UA"/>
        </w:rPr>
        <w:t>за потребою замовника.</w:t>
      </w:r>
    </w:p>
    <w:p w:rsidR="00C55CB0" w:rsidRPr="002A6499" w:rsidRDefault="00C55CB0" w:rsidP="00C55CB0">
      <w:pPr>
        <w:spacing w:after="120" w:line="240" w:lineRule="auto"/>
        <w:ind w:firstLine="708"/>
        <w:jc w:val="both"/>
        <w:rPr>
          <w:rFonts w:eastAsia="Calibri"/>
          <w:color w:val="auto"/>
          <w:lang w:val="uk-UA" w:bidi="he-IL"/>
        </w:rPr>
      </w:pPr>
      <w:r w:rsidRPr="002A6499">
        <w:rPr>
          <w:rFonts w:eastAsia="Calibri"/>
          <w:color w:val="auto"/>
          <w:lang w:val="uk-UA" w:bidi="he-IL"/>
        </w:rPr>
        <w:t>Товар повинен передаватися Замовнику запакований у мішках, які забезпечують цілісність товару та збереження його якості під час перевезення та використання.</w:t>
      </w:r>
    </w:p>
    <w:p w:rsidR="00C55CB0" w:rsidRPr="002A6499" w:rsidRDefault="00C55CB0" w:rsidP="00C55CB0">
      <w:pPr>
        <w:spacing w:after="120" w:line="240" w:lineRule="auto"/>
        <w:ind w:firstLine="708"/>
        <w:jc w:val="both"/>
        <w:rPr>
          <w:rFonts w:eastAsia="Calibri"/>
          <w:color w:val="auto"/>
          <w:lang w:val="uk-UA"/>
        </w:rPr>
      </w:pPr>
      <w:r w:rsidRPr="002A6499">
        <w:rPr>
          <w:rFonts w:eastAsia="Calibri"/>
          <w:color w:val="auto"/>
          <w:lang w:val="uk-UA"/>
        </w:rPr>
        <w:t xml:space="preserve">Оскільки </w:t>
      </w:r>
      <w:r w:rsidRPr="002A6499">
        <w:rPr>
          <w:rFonts w:eastAsia="Calibri"/>
          <w:b/>
          <w:color w:val="auto"/>
          <w:u w:val="single"/>
          <w:lang w:val="uk-UA" w:bidi="he-IL"/>
        </w:rPr>
        <w:t>доставка, завантаження та розвантаження товару</w:t>
      </w:r>
      <w:r w:rsidRPr="002A6499">
        <w:rPr>
          <w:rFonts w:eastAsia="Calibri"/>
          <w:b/>
          <w:color w:val="auto"/>
          <w:u w:val="single"/>
          <w:lang w:val="uk-UA"/>
        </w:rPr>
        <w:t xml:space="preserve"> здійснюється за рахунок Учасника-переможця,</w:t>
      </w:r>
      <w:r w:rsidRPr="002A6499">
        <w:rPr>
          <w:rFonts w:eastAsia="Calibri"/>
          <w:b/>
          <w:color w:val="auto"/>
          <w:lang w:val="uk-UA"/>
        </w:rPr>
        <w:t xml:space="preserve"> </w:t>
      </w:r>
      <w:r w:rsidRPr="002A6499">
        <w:rPr>
          <w:rFonts w:eastAsia="Calibri"/>
          <w:color w:val="auto"/>
          <w:lang w:val="uk-UA"/>
        </w:rPr>
        <w:t>то вартість даних суміжних послуг розраховуються та включається учасником до вартості предмету закупівлі (товару) і не повинна перевищувати вартості самого товару.</w:t>
      </w:r>
    </w:p>
    <w:p w:rsidR="00C55CB0" w:rsidRPr="002A6499" w:rsidRDefault="00C55CB0" w:rsidP="00C55CB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eastAsia="Courier New"/>
          <w:lang w:val="uk-UA" w:eastAsia="ru-RU"/>
        </w:rPr>
      </w:pPr>
      <w:r w:rsidRPr="002A6499">
        <w:rPr>
          <w:rFonts w:eastAsia="Courier New"/>
          <w:color w:val="auto"/>
          <w:lang w:val="uk-UA" w:eastAsia="ru-RU"/>
        </w:rPr>
        <w:t xml:space="preserve">Якісні характеристики предмету закупівлі: </w:t>
      </w:r>
      <w:r w:rsidRPr="002A6499">
        <w:rPr>
          <w:rFonts w:eastAsia="Courier New"/>
          <w:lang w:val="uk-UA" w:eastAsia="ru-RU"/>
        </w:rPr>
        <w:t>Товар, який становить предмет закупівлі, повинен бути новий, якісний та відповідати встановленим чинним законодавством України нормам, характеристикам, правилам тощо з врахуванням застосування заходів із захисту довкілля.</w:t>
      </w:r>
    </w:p>
    <w:p w:rsidR="00C55CB0" w:rsidRPr="002A6499" w:rsidRDefault="00C55CB0" w:rsidP="00C55CB0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ru-RU" w:eastAsia="ru-RU"/>
        </w:rPr>
      </w:pPr>
      <w:r w:rsidRPr="00955801">
        <w:rPr>
          <w:rFonts w:eastAsia="Times New Roman"/>
          <w:color w:val="auto"/>
          <w:lang w:val="ru-RU" w:eastAsia="ru-RU"/>
        </w:rPr>
        <w:tab/>
      </w:r>
      <w:r w:rsidRPr="002A6499">
        <w:rPr>
          <w:rFonts w:eastAsia="Times New Roman"/>
          <w:color w:val="auto"/>
          <w:lang w:val="uk-UA" w:eastAsia="ru-RU"/>
        </w:rPr>
        <w:t xml:space="preserve">Строк поставки Товару:  до 20.01.2025 року. Поставка товару здійснюється </w:t>
      </w:r>
      <w:r w:rsidRPr="002A6499">
        <w:rPr>
          <w:rFonts w:eastAsia="Times New Roman"/>
          <w:b/>
          <w:color w:val="auto"/>
          <w:u w:val="single"/>
          <w:lang w:val="uk-UA" w:eastAsia="ru-RU"/>
        </w:rPr>
        <w:t>протягом 3 (трьох) календарних днів з дня підписання договору.</w:t>
      </w:r>
    </w:p>
    <w:p w:rsidR="00C55CB0" w:rsidRPr="00955801" w:rsidRDefault="00C55CB0" w:rsidP="00C55CB0">
      <w:pPr>
        <w:spacing w:after="0"/>
        <w:rPr>
          <w:color w:val="auto"/>
          <w:sz w:val="22"/>
          <w:szCs w:val="22"/>
          <w:lang w:val="ru-RU"/>
        </w:rPr>
      </w:pPr>
    </w:p>
    <w:p w:rsidR="00C55CB0" w:rsidRPr="00955801" w:rsidRDefault="00C55CB0" w:rsidP="00C55CB0">
      <w:pPr>
        <w:spacing w:after="0"/>
        <w:rPr>
          <w:color w:val="auto"/>
          <w:sz w:val="22"/>
          <w:szCs w:val="22"/>
          <w:lang w:val="ru-RU"/>
        </w:rPr>
      </w:pPr>
    </w:p>
    <w:p w:rsidR="00C55CB0" w:rsidRPr="00955801" w:rsidRDefault="00C55CB0" w:rsidP="00C55CB0">
      <w:pPr>
        <w:spacing w:after="0"/>
        <w:rPr>
          <w:color w:val="auto"/>
          <w:sz w:val="22"/>
          <w:szCs w:val="22"/>
          <w:lang w:val="ru-RU"/>
        </w:rPr>
      </w:pPr>
    </w:p>
    <w:p w:rsidR="00C55CB0" w:rsidRPr="00955801" w:rsidRDefault="00C55CB0" w:rsidP="00C55CB0">
      <w:pPr>
        <w:spacing w:after="0"/>
        <w:rPr>
          <w:color w:val="auto"/>
          <w:sz w:val="22"/>
          <w:szCs w:val="22"/>
          <w:lang w:val="ru-RU"/>
        </w:rPr>
      </w:pPr>
    </w:p>
    <w:p w:rsidR="00C55CB0" w:rsidRPr="00955801" w:rsidRDefault="00C55CB0" w:rsidP="00C55CB0">
      <w:pPr>
        <w:spacing w:after="0"/>
        <w:rPr>
          <w:color w:val="auto"/>
          <w:sz w:val="22"/>
          <w:szCs w:val="22"/>
          <w:lang w:val="ru-RU"/>
        </w:rPr>
      </w:pPr>
    </w:p>
    <w:p w:rsidR="00C55CB0" w:rsidRPr="00955801" w:rsidRDefault="00C55CB0" w:rsidP="00C55CB0">
      <w:pPr>
        <w:spacing w:after="0"/>
        <w:rPr>
          <w:b/>
          <w:bCs/>
          <w:color w:val="auto"/>
          <w:sz w:val="22"/>
          <w:szCs w:val="22"/>
          <w:lang w:val="ru-RU"/>
        </w:rPr>
      </w:pPr>
      <w:r w:rsidRPr="002A6499">
        <w:rPr>
          <w:b/>
          <w:bCs/>
          <w:color w:val="auto"/>
          <w:sz w:val="22"/>
          <w:szCs w:val="22"/>
          <w:lang w:val="uk-UA"/>
        </w:rPr>
        <w:t xml:space="preserve">Головний спеціаліст відділу планування, </w:t>
      </w:r>
    </w:p>
    <w:p w:rsidR="00C55CB0" w:rsidRPr="002A6499" w:rsidRDefault="00C55CB0" w:rsidP="00C55CB0">
      <w:pPr>
        <w:spacing w:after="0"/>
        <w:rPr>
          <w:sz w:val="22"/>
          <w:szCs w:val="22"/>
          <w:lang w:val="uk-UA"/>
        </w:rPr>
      </w:pPr>
      <w:r w:rsidRPr="002A6499">
        <w:rPr>
          <w:b/>
          <w:bCs/>
          <w:color w:val="auto"/>
          <w:sz w:val="22"/>
          <w:szCs w:val="22"/>
          <w:lang w:val="uk-UA"/>
        </w:rPr>
        <w:t>економічного розвитку та інвестицій</w:t>
      </w:r>
      <w:r w:rsidRPr="002A6499">
        <w:rPr>
          <w:color w:val="auto"/>
          <w:sz w:val="22"/>
          <w:szCs w:val="22"/>
          <w:lang w:val="uk-UA"/>
        </w:rPr>
        <w:t xml:space="preserve"> </w:t>
      </w:r>
      <w:r w:rsidRPr="002A6499">
        <w:rPr>
          <w:color w:val="auto"/>
          <w:sz w:val="22"/>
          <w:szCs w:val="22"/>
          <w:lang w:val="uk-UA"/>
        </w:rPr>
        <w:tab/>
        <w:t xml:space="preserve">         </w:t>
      </w:r>
      <w:r w:rsidRPr="002A6499">
        <w:rPr>
          <w:color w:val="auto"/>
          <w:sz w:val="22"/>
          <w:szCs w:val="22"/>
          <w:lang w:val="uk-UA"/>
        </w:rPr>
        <w:tab/>
      </w:r>
      <w:r w:rsidRPr="002A6499">
        <w:rPr>
          <w:color w:val="auto"/>
          <w:sz w:val="22"/>
          <w:szCs w:val="22"/>
          <w:lang w:val="ru-RU"/>
        </w:rPr>
        <w:t xml:space="preserve">                          </w:t>
      </w:r>
      <w:r w:rsidRPr="002A6499">
        <w:rPr>
          <w:color w:val="auto"/>
          <w:sz w:val="22"/>
          <w:szCs w:val="22"/>
          <w:lang w:val="uk-UA"/>
        </w:rPr>
        <w:tab/>
      </w:r>
      <w:r w:rsidRPr="002A6499">
        <w:rPr>
          <w:b/>
          <w:color w:val="auto"/>
          <w:sz w:val="22"/>
          <w:szCs w:val="22"/>
          <w:lang w:val="uk-UA"/>
        </w:rPr>
        <w:t>Мар’яна ЖІНЧИН</w:t>
      </w:r>
    </w:p>
    <w:p w:rsidR="00F12C76" w:rsidRPr="00C55CB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55CB0" w:rsidSect="00A82290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104960657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8567B" w:rsidRDefault="00C55CB0" w:rsidP="009E08C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38567B" w:rsidRDefault="00C55CB0">
    <w:pPr>
      <w:pStyle w:val="a5"/>
    </w:pPr>
  </w:p>
  <w:p w:rsidR="0038567B" w:rsidRDefault="00C55CB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86231618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8567B" w:rsidRDefault="00C55CB0" w:rsidP="009E08C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38567B" w:rsidRDefault="00C55CB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7B" w:rsidRDefault="00C55CB0">
    <w:pPr>
      <w:pStyle w:val="a5"/>
    </w:pPr>
  </w:p>
  <w:p w:rsidR="0038567B" w:rsidRDefault="00C55CB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7B" w:rsidRDefault="00C55CB0">
    <w:pPr>
      <w:pStyle w:val="a3"/>
    </w:pPr>
  </w:p>
  <w:p w:rsidR="0038567B" w:rsidRDefault="00C55C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7B" w:rsidRDefault="00C55CB0">
    <w:pPr>
      <w:pStyle w:val="a3"/>
    </w:pPr>
  </w:p>
  <w:p w:rsidR="0038567B" w:rsidRDefault="00C55CB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CB0"/>
    <w:rsid w:val="003144ED"/>
    <w:rsid w:val="00485033"/>
    <w:rsid w:val="006C0B77"/>
    <w:rsid w:val="008242FF"/>
    <w:rsid w:val="00870751"/>
    <w:rsid w:val="00922C48"/>
    <w:rsid w:val="00B915B7"/>
    <w:rsid w:val="00C55CB0"/>
    <w:rsid w:val="00EA59DF"/>
    <w:rsid w:val="00EE4070"/>
    <w:rsid w:val="00F12C76"/>
    <w:rsid w:val="00F7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B0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CB0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C5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CB0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a7">
    <w:name w:val="page number"/>
    <w:uiPriority w:val="99"/>
    <w:rsid w:val="00C5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2024-12-26T07:34:00Z</dcterms:created>
  <dcterms:modified xsi:type="dcterms:W3CDTF">2024-12-26T07:35:00Z</dcterms:modified>
</cp:coreProperties>
</file>