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AA49AB">
        <w:rPr>
          <w:b/>
          <w:lang w:val="ru-RU"/>
        </w:rPr>
        <w:t>техн</w:t>
      </w:r>
      <w:proofErr w:type="gramEnd"/>
      <w:r w:rsidRPr="00AA49AB">
        <w:rPr>
          <w:b/>
          <w:lang w:val="ru-RU"/>
        </w:rPr>
        <w:t>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1A694F" w:rsidRPr="001A694F">
        <w:rPr>
          <w:b/>
          <w:lang w:val="uk-UA"/>
        </w:rPr>
        <w:t xml:space="preserve">Послуги з проведення технічної інвентаризації та виготовлення технічного паспорту на водопровідну мережу с. </w:t>
      </w:r>
      <w:proofErr w:type="spellStart"/>
      <w:r w:rsidR="001A694F" w:rsidRPr="001A694F">
        <w:rPr>
          <w:b/>
          <w:lang w:val="uk-UA"/>
        </w:rPr>
        <w:t>Чкалове</w:t>
      </w:r>
      <w:proofErr w:type="spellEnd"/>
      <w:r w:rsidR="001A694F" w:rsidRPr="001A694F">
        <w:rPr>
          <w:b/>
          <w:lang w:val="uk-UA"/>
        </w:rPr>
        <w:t xml:space="preserve"> Нікопольського району Дніпропетровської області згідно коду CPV за ДК 021:2015 – 71240000-2 Архітектурні, інженерні та планувальні послуги</w:t>
      </w:r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розміру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бюджетного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призначення</w:t>
      </w:r>
      <w:proofErr w:type="spellEnd"/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очікуваної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вартості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предмета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закупівлі</w:t>
      </w:r>
      <w:proofErr w:type="spellEnd"/>
      <w:r w:rsidRPr="0055545C">
        <w:rPr>
          <w:b/>
          <w:lang w:val="ru-RU"/>
        </w:rPr>
        <w:t xml:space="preserve"> (</w:t>
      </w:r>
      <w:proofErr w:type="spellStart"/>
      <w:proofErr w:type="gramStart"/>
      <w:r w:rsidRPr="00173767">
        <w:rPr>
          <w:b/>
          <w:lang w:val="ru-RU"/>
        </w:rPr>
        <w:t>оприлюднюється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на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виконання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постанови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КМУ</w:t>
      </w:r>
      <w:r w:rsidRPr="0055545C">
        <w:rPr>
          <w:b/>
          <w:lang w:val="ru-RU"/>
        </w:rPr>
        <w:t xml:space="preserve"> № 710 </w:t>
      </w:r>
      <w:proofErr w:type="spellStart"/>
      <w:r w:rsidRPr="00173767">
        <w:rPr>
          <w:b/>
          <w:lang w:val="ru-RU"/>
        </w:rPr>
        <w:t>від</w:t>
      </w:r>
      <w:proofErr w:type="spellEnd"/>
      <w:r w:rsidRPr="0055545C">
        <w:rPr>
          <w:b/>
          <w:lang w:val="ru-RU"/>
        </w:rPr>
        <w:t xml:space="preserve"> 11.10.2016 «</w:t>
      </w:r>
      <w:r w:rsidRPr="00173767">
        <w:rPr>
          <w:b/>
          <w:lang w:val="ru-RU"/>
        </w:rPr>
        <w:t>Про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ефективне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використання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державних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коштів</w:t>
      </w:r>
      <w:proofErr w:type="spellEnd"/>
      <w:r w:rsidRPr="0055545C">
        <w:rPr>
          <w:b/>
          <w:lang w:val="ru-RU"/>
        </w:rPr>
        <w:t>» (</w:t>
      </w:r>
      <w:proofErr w:type="spellStart"/>
      <w:r w:rsidRPr="00173767">
        <w:rPr>
          <w:b/>
          <w:lang w:val="ru-RU"/>
        </w:rPr>
        <w:t>зі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змінами</w:t>
      </w:r>
      <w:proofErr w:type="spellEnd"/>
      <w:r w:rsidRPr="0055545C">
        <w:rPr>
          <w:b/>
          <w:lang w:val="ru-RU"/>
        </w:rPr>
        <w:t>))</w:t>
      </w:r>
      <w:proofErr w:type="gramEnd"/>
    </w:p>
    <w:p w:rsidR="00AB76F0" w:rsidRPr="0055545C" w:rsidRDefault="00AB76F0" w:rsidP="00D35C73">
      <w:pPr>
        <w:spacing w:after="0"/>
        <w:jc w:val="center"/>
        <w:rPr>
          <w:b/>
          <w:lang w:val="ru-RU"/>
        </w:rPr>
      </w:pPr>
    </w:p>
    <w:p w:rsidR="00D35C73" w:rsidRPr="00C3150C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коду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словником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у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на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кожного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лота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)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й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>)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>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1A694F" w:rsidRPr="001A694F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Послуги з проведення технічної інвентаризації та виготовлення технічного паспорту на водопровідну мережу с. </w:t>
      </w:r>
      <w:proofErr w:type="spellStart"/>
      <w:r w:rsidR="001A694F" w:rsidRPr="001A694F">
        <w:rPr>
          <w:rFonts w:eastAsia="Times New Roman"/>
          <w:b/>
          <w:bCs/>
          <w:color w:val="auto"/>
          <w:sz w:val="22"/>
          <w:szCs w:val="22"/>
          <w:lang w:val="uk-UA"/>
        </w:rPr>
        <w:t>Чкалове</w:t>
      </w:r>
      <w:proofErr w:type="spellEnd"/>
      <w:r w:rsidR="001A694F" w:rsidRPr="001A694F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Нікопольського району </w:t>
      </w:r>
      <w:bookmarkStart w:id="0" w:name="_GoBack"/>
      <w:bookmarkEnd w:id="0"/>
      <w:r w:rsidR="001A694F" w:rsidRPr="001A694F">
        <w:rPr>
          <w:rFonts w:eastAsia="Times New Roman"/>
          <w:b/>
          <w:bCs/>
          <w:color w:val="auto"/>
          <w:sz w:val="22"/>
          <w:szCs w:val="22"/>
          <w:lang w:val="uk-UA"/>
        </w:rPr>
        <w:t>Дніпропетровської області згідно коду CPV за ДК 021:2015 – 71240000-2 Архітектурні, інженерні та планувальні послуги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C3150C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. для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64208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1A694F" w:rsidRPr="001A694F">
        <w:rPr>
          <w:rFonts w:eastAsia="Times New Roman"/>
          <w:bCs/>
          <w:color w:val="auto"/>
          <w:sz w:val="22"/>
          <w:szCs w:val="22"/>
          <w:lang w:val="uk-UA"/>
        </w:rPr>
        <w:t>71240000-2</w:t>
      </w:r>
      <w:r w:rsidR="00AC4A34"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="00AC4A34" w:rsidRPr="001A694F">
        <w:rPr>
          <w:rFonts w:eastAsia="Times New Roman"/>
          <w:color w:val="auto"/>
          <w:sz w:val="22"/>
          <w:szCs w:val="22"/>
          <w:lang w:val="ru-RU"/>
        </w:rPr>
        <w:t>–</w:t>
      </w:r>
      <w:r w:rsidR="00C3150C"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gramStart"/>
      <w:r w:rsidR="001A694F" w:rsidRPr="001A694F">
        <w:rPr>
          <w:rFonts w:eastAsia="Times New Roman"/>
          <w:color w:val="auto"/>
          <w:sz w:val="22"/>
          <w:szCs w:val="22"/>
          <w:lang w:val="uk-UA"/>
        </w:rPr>
        <w:t>Арх</w:t>
      </w:r>
      <w:proofErr w:type="gramEnd"/>
      <w:r w:rsidR="001A694F" w:rsidRPr="001A694F">
        <w:rPr>
          <w:rFonts w:eastAsia="Times New Roman"/>
          <w:color w:val="auto"/>
          <w:sz w:val="22"/>
          <w:szCs w:val="22"/>
          <w:lang w:val="uk-UA"/>
        </w:rPr>
        <w:t>ітектурні, інженерні та планувальні послуги</w:t>
      </w:r>
      <w:r w:rsidRPr="001A694F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173767" w:rsidRPr="000742D9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BC6799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C6799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BC6799" w:rsidRPr="00BC6799">
        <w:rPr>
          <w:color w:val="auto"/>
          <w:sz w:val="22"/>
          <w:szCs w:val="22"/>
          <w:shd w:val="clear" w:color="auto" w:fill="FFFFFF"/>
        </w:rPr>
        <w:t>UA-2023-11-03-011097-a</w:t>
      </w:r>
      <w:r w:rsidR="00F228C6" w:rsidRPr="00BC6799">
        <w:rPr>
          <w:rFonts w:eastAsia="Times New Roman"/>
          <w:color w:val="auto"/>
          <w:sz w:val="22"/>
          <w:szCs w:val="22"/>
          <w:lang w:val="ru-RU"/>
        </w:rPr>
        <w:t>.</w:t>
      </w:r>
      <w:proofErr w:type="gramEnd"/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131AA5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торги у порядку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</w:t>
      </w:r>
      <w:proofErr w:type="gram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вл</w:t>
      </w:r>
      <w:proofErr w:type="gram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>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1A694F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A694F">
        <w:rPr>
          <w:rFonts w:eastAsia="Times New Roman"/>
          <w:bCs/>
          <w:color w:val="auto"/>
          <w:sz w:val="22"/>
          <w:szCs w:val="22"/>
          <w:lang w:val="ru-RU"/>
        </w:rPr>
        <w:t>202 000,00 грн. (</w:t>
      </w:r>
      <w:proofErr w:type="spellStart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gramStart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ст</w:t>
      </w:r>
      <w:proofErr w:type="gramEnd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і</w:t>
      </w:r>
      <w:proofErr w:type="spellEnd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spellEnd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тисячі</w:t>
      </w:r>
      <w:proofErr w:type="spellEnd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>гривень</w:t>
      </w:r>
      <w:proofErr w:type="spellEnd"/>
      <w:r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00 коп.), з ПДВ</w:t>
      </w:r>
      <w:r w:rsidR="0093228E" w:rsidRPr="0041747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417478" w:rsidRDefault="001A694F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п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>/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>/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CF54D1" w:rsidRPr="00417478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0D3B9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proofErr w:type="spellStart"/>
      <w:r w:rsidR="00417478">
        <w:rPr>
          <w:rFonts w:eastAsia="Times New Roman"/>
          <w:bCs/>
          <w:color w:val="auto"/>
          <w:sz w:val="22"/>
          <w:szCs w:val="22"/>
          <w:lang w:val="uk-UA"/>
        </w:rPr>
        <w:t>Першотравневської</w:t>
      </w:r>
      <w:proofErr w:type="spellEnd"/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="00417478"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3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:rsidR="00735B82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A694F" w:rsidRPr="001A694F" w:rsidRDefault="00CF54D1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2E48E6">
        <w:rPr>
          <w:rFonts w:eastAsia="Times New Roman"/>
          <w:b/>
          <w:bCs/>
          <w:color w:val="auto"/>
          <w:sz w:val="22"/>
          <w:szCs w:val="22"/>
          <w:lang w:val="uk-UA"/>
        </w:rPr>
        <w:t>Нормативно-правове регулювання</w:t>
      </w:r>
      <w:r w:rsidRPr="0056669B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  <w:r w:rsidRPr="0056669B">
        <w:rPr>
          <w:rFonts w:eastAsia="Times New Roman"/>
          <w:color w:val="auto"/>
          <w:sz w:val="22"/>
          <w:szCs w:val="22"/>
        </w:rPr>
        <w:t> </w:t>
      </w:r>
      <w:r w:rsidR="001A694F"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 xml:space="preserve">Послуги з технічної інвентаризації водопровідної мережі, надаються </w:t>
      </w:r>
      <w:r w:rsidR="00C833F8">
        <w:rPr>
          <w:rFonts w:eastAsia="Times New Roman"/>
          <w:bCs/>
          <w:color w:val="auto"/>
          <w:sz w:val="22"/>
          <w:szCs w:val="22"/>
          <w:lang w:val="uk-UA" w:eastAsia="uk-UA"/>
        </w:rPr>
        <w:t>Виконавцем</w:t>
      </w:r>
      <w:r w:rsidR="001A694F"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 xml:space="preserve"> згідно вимог:</w:t>
      </w:r>
    </w:p>
    <w:p w:rsidR="001A694F" w:rsidRPr="001A694F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>-</w:t>
      </w: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ab/>
        <w:t xml:space="preserve">Закону України «Про регулювання містобудівної діяльності»; </w:t>
      </w:r>
    </w:p>
    <w:p w:rsidR="001A694F" w:rsidRPr="001A694F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>-</w:t>
      </w: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ab/>
        <w:t xml:space="preserve">Наказу Державного комітету будівництва, архітектури та житлової політики України «Про затвердження Інструкції про порядок проведення технічної інвентаризації об'єктів нерухомого майна» від 24.05.2001 року № 127; </w:t>
      </w:r>
    </w:p>
    <w:p w:rsidR="001A694F" w:rsidRPr="001A694F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>- Порядку проведення технічної інвентаризації, затвердженого Постановою Кабінету Міністрів України від 12.05.2023 року № 488;</w:t>
      </w:r>
    </w:p>
    <w:p w:rsidR="001A694F" w:rsidRPr="001A694F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 xml:space="preserve">- Тимчасової інструкції з «технічної інвентаризації водопровідних та каналізаційних мереж у </w:t>
      </w: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lastRenderedPageBreak/>
        <w:t>містах та селищах міського типу Української ССР» затвердженої наказом міністра комунального господарства УРСР від 02.02.1965 року № 34;</w:t>
      </w:r>
    </w:p>
    <w:p w:rsidR="001A694F" w:rsidRPr="001A694F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 w:eastAsia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>-</w:t>
      </w: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ab/>
        <w:t xml:space="preserve">Порядку прийняття в експлуатацію закінчених будівництвом об’єктів, затвердженого Постановою Кабінету Міністрів України від 13 квітня 2011 року № 461; </w:t>
      </w:r>
    </w:p>
    <w:p w:rsidR="0056669B" w:rsidRPr="002E48E6" w:rsidRDefault="001A694F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>-</w:t>
      </w:r>
      <w:r w:rsidRPr="001A694F">
        <w:rPr>
          <w:rFonts w:eastAsia="Times New Roman"/>
          <w:bCs/>
          <w:color w:val="auto"/>
          <w:sz w:val="22"/>
          <w:szCs w:val="22"/>
          <w:lang w:val="uk-UA" w:eastAsia="uk-UA"/>
        </w:rPr>
        <w:tab/>
        <w:t>інших вимог законодавства, чинних на момент надання послуг.</w:t>
      </w:r>
    </w:p>
    <w:p w:rsidR="00115087" w:rsidRPr="002E48E6" w:rsidRDefault="0011508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A04035" w:rsidRDefault="0006144E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  <w:proofErr w:type="spellStart"/>
      <w:r>
        <w:rPr>
          <w:rFonts w:eastAsia="Times New Roman"/>
          <w:b/>
          <w:color w:val="auto"/>
          <w:sz w:val="22"/>
          <w:szCs w:val="22"/>
          <w:lang w:val="ru-RU"/>
        </w:rPr>
        <w:t>Якісні</w:t>
      </w:r>
      <w:proofErr w:type="spellEnd"/>
      <w:r>
        <w:rPr>
          <w:rFonts w:eastAsia="Times New Roman"/>
          <w:b/>
          <w:color w:val="auto"/>
          <w:sz w:val="22"/>
          <w:szCs w:val="22"/>
          <w:lang w:val="ru-RU"/>
        </w:rPr>
        <w:t xml:space="preserve">, </w:t>
      </w:r>
      <w:proofErr w:type="spellStart"/>
      <w:r w:rsidR="002E48E6">
        <w:rPr>
          <w:rFonts w:eastAsia="Times New Roman"/>
          <w:b/>
          <w:color w:val="auto"/>
          <w:sz w:val="22"/>
          <w:szCs w:val="22"/>
          <w:lang w:val="ru-RU"/>
        </w:rPr>
        <w:t>к</w:t>
      </w:r>
      <w:r w:rsidR="00CF54D1" w:rsidRPr="0056669B">
        <w:rPr>
          <w:rFonts w:eastAsia="Times New Roman"/>
          <w:b/>
          <w:color w:val="auto"/>
          <w:sz w:val="22"/>
          <w:szCs w:val="22"/>
          <w:lang w:val="ru-RU"/>
        </w:rPr>
        <w:t>ількісн</w:t>
      </w:r>
      <w:r>
        <w:rPr>
          <w:rFonts w:eastAsia="Times New Roman"/>
          <w:b/>
          <w:color w:val="auto"/>
          <w:sz w:val="22"/>
          <w:szCs w:val="22"/>
          <w:lang w:val="ru-RU"/>
        </w:rPr>
        <w:t>і</w:t>
      </w:r>
      <w:proofErr w:type="spellEnd"/>
      <w:r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proofErr w:type="gramStart"/>
      <w:r>
        <w:rPr>
          <w:rFonts w:eastAsia="Times New Roman"/>
          <w:b/>
          <w:color w:val="auto"/>
          <w:sz w:val="22"/>
          <w:szCs w:val="22"/>
          <w:lang w:val="ru-RU"/>
        </w:rPr>
        <w:t>техн</w:t>
      </w:r>
      <w:proofErr w:type="gramEnd"/>
      <w:r>
        <w:rPr>
          <w:rFonts w:eastAsia="Times New Roman"/>
          <w:b/>
          <w:color w:val="auto"/>
          <w:sz w:val="22"/>
          <w:szCs w:val="22"/>
          <w:lang w:val="ru-RU"/>
        </w:rPr>
        <w:t>ічні</w:t>
      </w:r>
      <w:proofErr w:type="spellEnd"/>
      <w:r w:rsidR="00CF54D1" w:rsidRPr="0056669B">
        <w:rPr>
          <w:rFonts w:eastAsia="Times New Roman"/>
          <w:b/>
          <w:color w:val="auto"/>
          <w:sz w:val="22"/>
          <w:szCs w:val="22"/>
          <w:lang w:val="ru-RU"/>
        </w:rPr>
        <w:t xml:space="preserve"> характеристик</w:t>
      </w:r>
      <w:r>
        <w:rPr>
          <w:rFonts w:eastAsia="Times New Roman"/>
          <w:b/>
          <w:color w:val="auto"/>
          <w:sz w:val="22"/>
          <w:szCs w:val="22"/>
          <w:lang w:val="ru-RU"/>
        </w:rPr>
        <w:t>и</w:t>
      </w:r>
      <w:r w:rsidR="00CF54D1" w:rsidRPr="0056669B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="00CF54D1" w:rsidRPr="0056669B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A04035" w:rsidRPr="0056669B">
        <w:rPr>
          <w:rFonts w:eastAsia="Times New Roman"/>
          <w:b/>
          <w:color w:val="auto"/>
          <w:sz w:val="22"/>
          <w:szCs w:val="22"/>
          <w:lang w:val="ru-RU"/>
        </w:rPr>
        <w:t xml:space="preserve">: </w:t>
      </w:r>
    </w:p>
    <w:p w:rsidR="00735B82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735B82" w:rsidRPr="00735B82" w:rsidRDefault="00735B82" w:rsidP="00735B82">
      <w:pPr>
        <w:spacing w:after="0"/>
        <w:ind w:firstLine="426"/>
        <w:jc w:val="both"/>
        <w:rPr>
          <w:bCs/>
          <w:i/>
          <w:color w:val="auto"/>
          <w:sz w:val="22"/>
          <w:szCs w:val="22"/>
          <w:lang w:val="ru-RU"/>
        </w:rPr>
      </w:pP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Послуги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з </w:t>
      </w:r>
      <w:proofErr w:type="spellStart"/>
      <w:proofErr w:type="gramStart"/>
      <w:r w:rsidRPr="00735B82">
        <w:rPr>
          <w:bCs/>
          <w:i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i/>
          <w:color w:val="auto"/>
          <w:sz w:val="22"/>
          <w:szCs w:val="22"/>
          <w:lang w:val="ru-RU"/>
        </w:rPr>
        <w:t>ічної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водопровідної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м</w:t>
      </w:r>
      <w:r>
        <w:rPr>
          <w:bCs/>
          <w:i/>
          <w:color w:val="auto"/>
          <w:sz w:val="22"/>
          <w:szCs w:val="22"/>
          <w:lang w:val="ru-RU"/>
        </w:rPr>
        <w:t>ережі</w:t>
      </w:r>
      <w:proofErr w:type="spellEnd"/>
      <w:r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i/>
          <w:color w:val="auto"/>
          <w:sz w:val="22"/>
          <w:szCs w:val="22"/>
          <w:lang w:val="ru-RU"/>
        </w:rPr>
        <w:t>складаються</w:t>
      </w:r>
      <w:proofErr w:type="spellEnd"/>
      <w:r>
        <w:rPr>
          <w:bCs/>
          <w:i/>
          <w:color w:val="auto"/>
          <w:sz w:val="22"/>
          <w:szCs w:val="22"/>
          <w:lang w:val="ru-RU"/>
        </w:rPr>
        <w:t xml:space="preserve"> з </w:t>
      </w:r>
      <w:proofErr w:type="spellStart"/>
      <w:r>
        <w:rPr>
          <w:bCs/>
          <w:i/>
          <w:color w:val="auto"/>
          <w:sz w:val="22"/>
          <w:szCs w:val="22"/>
          <w:lang w:val="ru-RU"/>
        </w:rPr>
        <w:t>наступного</w:t>
      </w:r>
      <w:proofErr w:type="spellEnd"/>
      <w:r>
        <w:rPr>
          <w:bCs/>
          <w:i/>
          <w:color w:val="auto"/>
          <w:sz w:val="22"/>
          <w:szCs w:val="22"/>
          <w:lang w:val="ru-RU"/>
        </w:rPr>
        <w:t>:</w:t>
      </w:r>
    </w:p>
    <w:p w:rsid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>
        <w:rPr>
          <w:bCs/>
          <w:color w:val="auto"/>
          <w:sz w:val="22"/>
          <w:szCs w:val="22"/>
          <w:lang w:val="ru-RU"/>
        </w:rPr>
        <w:t xml:space="preserve">1.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Ознайомлення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наявною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проектною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документацією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визначення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категорій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складності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визначення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обсягу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інженерни</w:t>
      </w:r>
      <w:r>
        <w:rPr>
          <w:bCs/>
          <w:color w:val="auto"/>
          <w:sz w:val="22"/>
          <w:szCs w:val="22"/>
          <w:lang w:val="ru-RU"/>
        </w:rPr>
        <w:t>х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послуг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bCs/>
          <w:color w:val="auto"/>
          <w:sz w:val="22"/>
          <w:szCs w:val="22"/>
          <w:lang w:val="ru-RU"/>
        </w:rPr>
        <w:t>які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необхідно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надати</w:t>
      </w:r>
      <w:proofErr w:type="spellEnd"/>
      <w:r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>
        <w:rPr>
          <w:bCs/>
          <w:color w:val="auto"/>
          <w:sz w:val="22"/>
          <w:szCs w:val="22"/>
          <w:lang w:val="ru-RU"/>
        </w:rPr>
        <w:t xml:space="preserve">2.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2.1.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проводиться 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відповідності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до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вимог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чинного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законодавства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основні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етапи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включають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-</w:t>
      </w:r>
      <w:r w:rsidRPr="00735B82">
        <w:rPr>
          <w:bCs/>
          <w:color w:val="auto"/>
          <w:sz w:val="22"/>
          <w:szCs w:val="22"/>
          <w:lang w:val="ru-RU"/>
        </w:rPr>
        <w:tab/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вивчення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що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стосуються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;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-</w:t>
      </w:r>
      <w:r w:rsidRPr="00735B82">
        <w:rPr>
          <w:bCs/>
          <w:color w:val="auto"/>
          <w:sz w:val="22"/>
          <w:szCs w:val="22"/>
          <w:lang w:val="ru-RU"/>
        </w:rPr>
        <w:tab/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обстеження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 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польових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робі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т</w:t>
      </w:r>
      <w:proofErr w:type="spellEnd"/>
      <w:proofErr w:type="gramEnd"/>
      <w:r w:rsidRPr="00735B82">
        <w:rPr>
          <w:bCs/>
          <w:color w:val="auto"/>
          <w:sz w:val="22"/>
          <w:szCs w:val="22"/>
          <w:lang w:val="ru-RU"/>
        </w:rPr>
        <w:t>;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 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камеральних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робі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т</w:t>
      </w:r>
      <w:proofErr w:type="spellEnd"/>
      <w:proofErr w:type="gramEnd"/>
      <w:r w:rsidRPr="00735B82"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2.2. За результатами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проведеної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із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дотриманням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вимог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Тимчасової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інструкції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«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водопровідних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каналізаційних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мереж 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містах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селищах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міського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типу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Української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ССР»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затвердженої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наказом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міністра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комунального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господарства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УРСР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02.02.1965 року № 34, </w:t>
      </w:r>
      <w:proofErr w:type="spellStart"/>
      <w:r>
        <w:rPr>
          <w:bCs/>
          <w:color w:val="auto"/>
          <w:sz w:val="22"/>
          <w:szCs w:val="22"/>
          <w:lang w:val="ru-RU"/>
        </w:rPr>
        <w:t>Виконавцем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послуг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складається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технічний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па</w:t>
      </w:r>
      <w:r>
        <w:rPr>
          <w:bCs/>
          <w:color w:val="auto"/>
          <w:sz w:val="22"/>
          <w:szCs w:val="22"/>
          <w:lang w:val="ru-RU"/>
        </w:rPr>
        <w:t xml:space="preserve">спорт на </w:t>
      </w:r>
      <w:proofErr w:type="spellStart"/>
      <w:r>
        <w:rPr>
          <w:bCs/>
          <w:color w:val="auto"/>
          <w:sz w:val="22"/>
          <w:szCs w:val="22"/>
          <w:lang w:val="ru-RU"/>
        </w:rPr>
        <w:t>об’єкт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3.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Виконавець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надає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за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м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ісцем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знахо</w:t>
      </w:r>
      <w:r>
        <w:rPr>
          <w:bCs/>
          <w:color w:val="auto"/>
          <w:sz w:val="22"/>
          <w:szCs w:val="22"/>
          <w:lang w:val="ru-RU"/>
        </w:rPr>
        <w:t>дження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об’єкту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інвентаризації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.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4.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Всі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інструменти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прилади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що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застосовуються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п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час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обстеження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будівель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і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споруд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повинні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бути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повірені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калібровані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атестовані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) 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встановленому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порядку.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Застосування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інструментів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приладів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наявності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несправності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або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із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закінченим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терміном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обслуговування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перевірки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працездатності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випробувань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огляду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повірки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)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або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закінченням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дозвіль</w:t>
      </w:r>
      <w:r>
        <w:rPr>
          <w:bCs/>
          <w:color w:val="auto"/>
          <w:sz w:val="22"/>
          <w:szCs w:val="22"/>
          <w:lang w:val="ru-RU"/>
        </w:rPr>
        <w:t>них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документів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bCs/>
          <w:color w:val="auto"/>
          <w:sz w:val="22"/>
          <w:szCs w:val="22"/>
          <w:lang w:val="ru-RU"/>
        </w:rPr>
        <w:t>забороняється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. </w:t>
      </w:r>
    </w:p>
    <w:p w:rsid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5.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Застосовані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прилади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обладн</w:t>
      </w:r>
      <w:r>
        <w:rPr>
          <w:bCs/>
          <w:color w:val="auto"/>
          <w:sz w:val="22"/>
          <w:szCs w:val="22"/>
          <w:lang w:val="ru-RU"/>
        </w:rPr>
        <w:t>ання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мають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бути </w:t>
      </w:r>
      <w:proofErr w:type="spellStart"/>
      <w:r>
        <w:rPr>
          <w:bCs/>
          <w:color w:val="auto"/>
          <w:sz w:val="22"/>
          <w:szCs w:val="22"/>
          <w:lang w:val="ru-RU"/>
        </w:rPr>
        <w:t>сертифі</w:t>
      </w:r>
      <w:proofErr w:type="gramStart"/>
      <w:r>
        <w:rPr>
          <w:bCs/>
          <w:color w:val="auto"/>
          <w:sz w:val="22"/>
          <w:szCs w:val="22"/>
          <w:lang w:val="ru-RU"/>
        </w:rPr>
        <w:t>кован</w:t>
      </w:r>
      <w:proofErr w:type="gramEnd"/>
      <w:r>
        <w:rPr>
          <w:bCs/>
          <w:color w:val="auto"/>
          <w:sz w:val="22"/>
          <w:szCs w:val="22"/>
          <w:lang w:val="ru-RU"/>
        </w:rPr>
        <w:t>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.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6.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Вартість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повинна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включати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усі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податки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витрати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відрядження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обов’язкові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збори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і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платежі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також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вартість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п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ідготовчих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робіт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придбання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обладнання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матеріалів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необхідних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для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умов договору про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закупівлю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інших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витрат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Виконавця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пов’язаних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із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наданням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. </w:t>
      </w:r>
      <w:proofErr w:type="spellStart"/>
      <w:r>
        <w:rPr>
          <w:bCs/>
          <w:color w:val="auto"/>
          <w:sz w:val="22"/>
          <w:szCs w:val="22"/>
          <w:lang w:val="ru-RU"/>
        </w:rPr>
        <w:t>Виконавець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повинен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розрахунок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ціни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: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калькуляцію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або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кошторис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вартості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розроблення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. 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Калькуляція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вартості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розроблення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технічної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документації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надається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згідно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Наказом Державного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комітету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України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питань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житлово-комунального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господарства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21.11.2003 року № 198 «Про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затвердження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Збірника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норм часу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роботи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що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виконуються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суб’єктами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господарювання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які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здійснюють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інвентаризацію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об’єктів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нерухомого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майна» (</w:t>
      </w:r>
      <w:proofErr w:type="spellStart"/>
      <w:r>
        <w:rPr>
          <w:bCs/>
          <w:color w:val="auto"/>
          <w:sz w:val="22"/>
          <w:szCs w:val="22"/>
          <w:lang w:val="ru-RU"/>
        </w:rPr>
        <w:t>зі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змінами</w:t>
      </w:r>
      <w:proofErr w:type="spellEnd"/>
      <w:r>
        <w:rPr>
          <w:bCs/>
          <w:color w:val="auto"/>
          <w:sz w:val="22"/>
          <w:szCs w:val="22"/>
          <w:lang w:val="ru-RU"/>
        </w:rPr>
        <w:t>).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7.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Учасник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несе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відповідальність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вимог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охорони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праці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безпеки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дорожнього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руху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транспортних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засобів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пожежної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безпеки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об’єктах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території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Замовника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час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про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що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надає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лист-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гарантію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</w:p>
    <w:p w:rsidR="00735B82" w:rsidRPr="00735B82" w:rsidRDefault="00735B82" w:rsidP="00735B82">
      <w:pPr>
        <w:spacing w:after="0"/>
        <w:ind w:firstLine="426"/>
        <w:jc w:val="both"/>
        <w:rPr>
          <w:bCs/>
          <w:i/>
          <w:color w:val="auto"/>
          <w:sz w:val="22"/>
          <w:szCs w:val="22"/>
          <w:lang w:val="ru-RU"/>
        </w:rPr>
      </w:pP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Перелік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об’єктів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нерухомого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майна,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що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i/>
          <w:color w:val="auto"/>
          <w:sz w:val="22"/>
          <w:szCs w:val="22"/>
          <w:lang w:val="ru-RU"/>
        </w:rPr>
        <w:t>п</w:t>
      </w:r>
      <w:proofErr w:type="gramEnd"/>
      <w:r w:rsidRPr="00735B82">
        <w:rPr>
          <w:bCs/>
          <w:i/>
          <w:color w:val="auto"/>
          <w:sz w:val="22"/>
          <w:szCs w:val="22"/>
          <w:lang w:val="ru-RU"/>
        </w:rPr>
        <w:t>ідлягають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технічній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інвентаризації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водопровідна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мережа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загальною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довжиною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24,7 км;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оглядові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</w:t>
      </w:r>
      <w:r>
        <w:rPr>
          <w:bCs/>
          <w:color w:val="auto"/>
          <w:sz w:val="22"/>
          <w:szCs w:val="22"/>
          <w:lang w:val="ru-RU"/>
        </w:rPr>
        <w:t>лодязі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в </w:t>
      </w:r>
      <w:proofErr w:type="spellStart"/>
      <w:r>
        <w:rPr>
          <w:bCs/>
          <w:color w:val="auto"/>
          <w:sz w:val="22"/>
          <w:szCs w:val="22"/>
          <w:lang w:val="ru-RU"/>
        </w:rPr>
        <w:t>кількості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111 </w:t>
      </w:r>
      <w:proofErr w:type="spellStart"/>
      <w:r>
        <w:rPr>
          <w:bCs/>
          <w:color w:val="auto"/>
          <w:sz w:val="22"/>
          <w:szCs w:val="22"/>
          <w:lang w:val="ru-RU"/>
        </w:rPr>
        <w:t>одиниць</w:t>
      </w:r>
      <w:proofErr w:type="spellEnd"/>
      <w:r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1.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за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м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ісцем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розташування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об’єкту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- 53275,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Дніпропетровська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область,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Нік</w:t>
      </w:r>
      <w:r>
        <w:rPr>
          <w:bCs/>
          <w:color w:val="auto"/>
          <w:sz w:val="22"/>
          <w:szCs w:val="22"/>
          <w:lang w:val="ru-RU"/>
        </w:rPr>
        <w:t>опольський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район, село </w:t>
      </w:r>
      <w:proofErr w:type="gramStart"/>
      <w:r>
        <w:rPr>
          <w:bCs/>
          <w:color w:val="auto"/>
          <w:sz w:val="22"/>
          <w:szCs w:val="22"/>
          <w:lang w:val="ru-RU"/>
        </w:rPr>
        <w:t>Чкалове</w:t>
      </w:r>
      <w:proofErr w:type="gramEnd"/>
      <w:r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Обов’язкові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умови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до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паспортів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2.1.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Виготовлена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документація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має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відповідати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фактичним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розмірам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наявних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лінійних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мереж.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lastRenderedPageBreak/>
        <w:t xml:space="preserve">2.2. В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ічному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паспорті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зазначається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найменування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водопровідної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мережі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нумерування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детальним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описом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(паспорт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)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прив’язками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до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місцевості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2.3.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Плани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складаються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(в тому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числі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використанням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ЕОТ) в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паперовому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вигляді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стандартних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форм в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масштабі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1:500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або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1:1000. </w:t>
      </w:r>
      <w:proofErr w:type="gramEnd"/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2.4. В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ічному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паспорті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обов’язково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вказуються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характеристики: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2.4.1. для 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водопровідних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мереж: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Р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ік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будівництва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Місце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знаходження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Діаметр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труб,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мм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Протяжність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м;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Глибина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закладання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м;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Матер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іали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труб;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- Характеристика стану труб;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Номер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вводі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в</w:t>
      </w:r>
      <w:proofErr w:type="spellEnd"/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2.4.2. для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Р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ік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будівництва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Номери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Тип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матеріали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в</w:t>
      </w:r>
      <w:proofErr w:type="spellEnd"/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Характеристика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стану;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Глибина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, м (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площини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люка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до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трубопроводу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від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площини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люка до люка)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Засувки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діаметр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мм,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кількість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шт.)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- Арматура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колодязів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пож</w:t>
      </w:r>
      <w:r>
        <w:rPr>
          <w:bCs/>
          <w:color w:val="auto"/>
          <w:sz w:val="22"/>
          <w:szCs w:val="22"/>
          <w:lang w:val="ru-RU"/>
        </w:rPr>
        <w:t>ежні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ru-RU"/>
        </w:rPr>
        <w:t>гідранти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bCs/>
          <w:color w:val="auto"/>
          <w:sz w:val="22"/>
          <w:szCs w:val="22"/>
          <w:lang w:val="ru-RU"/>
        </w:rPr>
        <w:t>крани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bCs/>
          <w:color w:val="auto"/>
          <w:sz w:val="22"/>
          <w:szCs w:val="22"/>
          <w:lang w:val="ru-RU"/>
        </w:rPr>
        <w:t>клапани</w:t>
      </w:r>
      <w:proofErr w:type="spellEnd"/>
      <w:r>
        <w:rPr>
          <w:bCs/>
          <w:color w:val="auto"/>
          <w:sz w:val="22"/>
          <w:szCs w:val="22"/>
          <w:lang w:val="ru-RU"/>
        </w:rPr>
        <w:t xml:space="preserve">) 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 xml:space="preserve">3.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приймаються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Замовником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в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порядку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виготовленими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документами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оформляються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актами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прийому-передачі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та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виготовлених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в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результаті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.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Виконавцем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надаються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такі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735B82">
        <w:rPr>
          <w:bCs/>
          <w:color w:val="auto"/>
          <w:sz w:val="22"/>
          <w:szCs w:val="22"/>
          <w:lang w:val="ru-RU"/>
        </w:rPr>
        <w:t>техн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ічні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паспорти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паперовому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носії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.</w:t>
      </w:r>
    </w:p>
    <w:p w:rsid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</w:p>
    <w:p w:rsidR="00735B82" w:rsidRPr="00735B82" w:rsidRDefault="00735B82" w:rsidP="00735B82">
      <w:pPr>
        <w:spacing w:after="0"/>
        <w:ind w:firstLine="426"/>
        <w:jc w:val="both"/>
        <w:rPr>
          <w:bCs/>
          <w:i/>
          <w:color w:val="auto"/>
          <w:sz w:val="22"/>
          <w:szCs w:val="22"/>
          <w:lang w:val="ru-RU"/>
        </w:rPr>
      </w:pP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Вихідні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дані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,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які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будуть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надаватись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="00C833F8">
        <w:rPr>
          <w:bCs/>
          <w:i/>
          <w:color w:val="auto"/>
          <w:sz w:val="22"/>
          <w:szCs w:val="22"/>
          <w:lang w:val="ru-RU"/>
        </w:rPr>
        <w:t>Виконавцю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при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виконанні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r w:rsidR="00C833F8">
        <w:rPr>
          <w:bCs/>
          <w:i/>
          <w:color w:val="auto"/>
          <w:sz w:val="22"/>
          <w:szCs w:val="22"/>
          <w:lang w:val="ru-RU"/>
        </w:rPr>
        <w:t xml:space="preserve">умов </w:t>
      </w:r>
      <w:r w:rsidRPr="00735B82">
        <w:rPr>
          <w:bCs/>
          <w:i/>
          <w:color w:val="auto"/>
          <w:sz w:val="22"/>
          <w:szCs w:val="22"/>
          <w:lang w:val="ru-RU"/>
        </w:rPr>
        <w:t>Договору: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-</w:t>
      </w:r>
      <w:r w:rsidRPr="00735B82">
        <w:rPr>
          <w:bCs/>
          <w:color w:val="auto"/>
          <w:sz w:val="22"/>
          <w:szCs w:val="22"/>
          <w:lang w:val="ru-RU"/>
        </w:rPr>
        <w:tab/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проектна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документація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>;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-</w:t>
      </w:r>
      <w:r w:rsidRPr="00735B82">
        <w:rPr>
          <w:bCs/>
          <w:color w:val="auto"/>
          <w:sz w:val="22"/>
          <w:szCs w:val="22"/>
          <w:lang w:val="ru-RU"/>
        </w:rPr>
        <w:tab/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повідомлення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про початок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виконання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будівельних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робіт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на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об’єктах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з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середніми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наслідками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(СС</w:t>
      </w:r>
      <w:proofErr w:type="gramStart"/>
      <w:r w:rsidRPr="00735B82">
        <w:rPr>
          <w:bCs/>
          <w:color w:val="auto"/>
          <w:sz w:val="22"/>
          <w:szCs w:val="22"/>
          <w:lang w:val="ru-RU"/>
        </w:rPr>
        <w:t>2</w:t>
      </w:r>
      <w:proofErr w:type="gramEnd"/>
      <w:r w:rsidRPr="00735B82">
        <w:rPr>
          <w:bCs/>
          <w:color w:val="auto"/>
          <w:sz w:val="22"/>
          <w:szCs w:val="22"/>
          <w:lang w:val="ru-RU"/>
        </w:rPr>
        <w:t>).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</w:p>
    <w:p w:rsidR="00735B82" w:rsidRPr="00735B82" w:rsidRDefault="00735B82" w:rsidP="00735B82">
      <w:pPr>
        <w:spacing w:after="0"/>
        <w:ind w:firstLine="426"/>
        <w:jc w:val="both"/>
        <w:rPr>
          <w:bCs/>
          <w:i/>
          <w:color w:val="auto"/>
          <w:sz w:val="22"/>
          <w:szCs w:val="22"/>
          <w:lang w:val="ru-RU"/>
        </w:rPr>
      </w:pPr>
      <w:r w:rsidRPr="00735B82">
        <w:rPr>
          <w:bCs/>
          <w:i/>
          <w:color w:val="auto"/>
          <w:sz w:val="22"/>
          <w:szCs w:val="22"/>
          <w:lang w:val="ru-RU"/>
        </w:rPr>
        <w:t xml:space="preserve">Строк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надання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>: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  <w:r w:rsidRPr="00735B82">
        <w:rPr>
          <w:bCs/>
          <w:color w:val="auto"/>
          <w:sz w:val="22"/>
          <w:szCs w:val="22"/>
          <w:lang w:val="ru-RU"/>
        </w:rPr>
        <w:t>До 31.12.2023 року.</w:t>
      </w:r>
    </w:p>
    <w:p w:rsidR="00735B82" w:rsidRPr="00735B82" w:rsidRDefault="00735B82" w:rsidP="00735B82">
      <w:pPr>
        <w:spacing w:after="0"/>
        <w:ind w:firstLine="426"/>
        <w:jc w:val="both"/>
        <w:rPr>
          <w:bCs/>
          <w:color w:val="auto"/>
          <w:sz w:val="22"/>
          <w:szCs w:val="22"/>
          <w:lang w:val="ru-RU"/>
        </w:rPr>
      </w:pPr>
    </w:p>
    <w:p w:rsidR="00735B82" w:rsidRPr="00735B82" w:rsidRDefault="00735B82" w:rsidP="00735B82">
      <w:pPr>
        <w:spacing w:after="0"/>
        <w:ind w:firstLine="426"/>
        <w:jc w:val="both"/>
        <w:rPr>
          <w:bCs/>
          <w:i/>
          <w:color w:val="auto"/>
          <w:sz w:val="22"/>
          <w:szCs w:val="22"/>
          <w:lang w:val="ru-RU"/>
        </w:rPr>
      </w:pPr>
      <w:r w:rsidRPr="00735B82">
        <w:rPr>
          <w:bCs/>
          <w:i/>
          <w:color w:val="auto"/>
          <w:sz w:val="22"/>
          <w:szCs w:val="22"/>
          <w:lang w:val="ru-RU"/>
        </w:rPr>
        <w:t xml:space="preserve">Порядок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здач</w:t>
      </w:r>
      <w:proofErr w:type="gramStart"/>
      <w:r w:rsidRPr="00735B82">
        <w:rPr>
          <w:bCs/>
          <w:i/>
          <w:color w:val="auto"/>
          <w:sz w:val="22"/>
          <w:szCs w:val="22"/>
          <w:lang w:val="ru-RU"/>
        </w:rPr>
        <w:t>і-</w:t>
      </w:r>
      <w:proofErr w:type="gramEnd"/>
      <w:r w:rsidRPr="00735B82">
        <w:rPr>
          <w:bCs/>
          <w:i/>
          <w:color w:val="auto"/>
          <w:sz w:val="22"/>
          <w:szCs w:val="22"/>
          <w:lang w:val="ru-RU"/>
        </w:rPr>
        <w:t>приймання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наданих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i/>
          <w:color w:val="auto"/>
          <w:sz w:val="22"/>
          <w:szCs w:val="22"/>
          <w:lang w:val="ru-RU"/>
        </w:rPr>
        <w:t>послуг</w:t>
      </w:r>
      <w:proofErr w:type="spellEnd"/>
      <w:r w:rsidRPr="00735B82">
        <w:rPr>
          <w:bCs/>
          <w:i/>
          <w:color w:val="auto"/>
          <w:sz w:val="22"/>
          <w:szCs w:val="22"/>
          <w:lang w:val="ru-RU"/>
        </w:rPr>
        <w:t>:</w:t>
      </w:r>
    </w:p>
    <w:p w:rsidR="0056669B" w:rsidRPr="00D160D2" w:rsidRDefault="00735B82" w:rsidP="00735B82">
      <w:pPr>
        <w:spacing w:after="0"/>
        <w:ind w:firstLine="426"/>
        <w:jc w:val="both"/>
        <w:rPr>
          <w:color w:val="auto"/>
          <w:sz w:val="22"/>
          <w:szCs w:val="22"/>
          <w:lang w:val="uk-UA"/>
        </w:rPr>
      </w:pPr>
      <w:proofErr w:type="spellStart"/>
      <w:r>
        <w:rPr>
          <w:bCs/>
          <w:color w:val="auto"/>
          <w:sz w:val="22"/>
          <w:szCs w:val="22"/>
          <w:lang w:val="ru-RU"/>
        </w:rPr>
        <w:t>Виконавець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зобов’язаний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забезпечити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отримання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Замовником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належним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чином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оформлених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документів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останнього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зразку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(на дату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прийняття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735B82">
        <w:rPr>
          <w:bCs/>
          <w:color w:val="auto"/>
          <w:sz w:val="22"/>
          <w:szCs w:val="22"/>
          <w:lang w:val="ru-RU"/>
        </w:rPr>
        <w:t>робіт</w:t>
      </w:r>
      <w:proofErr w:type="spellEnd"/>
      <w:r w:rsidRPr="00735B82">
        <w:rPr>
          <w:bCs/>
          <w:color w:val="auto"/>
          <w:sz w:val="22"/>
          <w:szCs w:val="22"/>
          <w:lang w:val="ru-RU"/>
        </w:rPr>
        <w:t xml:space="preserve"> по Договору).</w:t>
      </w:r>
    </w:p>
    <w:p w:rsidR="0056669B" w:rsidRPr="00D160D2" w:rsidRDefault="0056669B" w:rsidP="00735B82">
      <w:pPr>
        <w:spacing w:after="0"/>
        <w:ind w:firstLine="426"/>
        <w:jc w:val="both"/>
        <w:rPr>
          <w:color w:val="auto"/>
          <w:sz w:val="22"/>
          <w:szCs w:val="22"/>
          <w:lang w:val="uk-UA"/>
        </w:rPr>
      </w:pPr>
    </w:p>
    <w:p w:rsidR="0056669B" w:rsidRDefault="0056669B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Pr="00D160D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3406B3" w:rsidRPr="00D160D2" w:rsidRDefault="003406B3" w:rsidP="00D35C73">
      <w:pPr>
        <w:spacing w:after="0"/>
        <w:jc w:val="both"/>
        <w:rPr>
          <w:color w:val="auto"/>
          <w:sz w:val="22"/>
          <w:szCs w:val="22"/>
          <w:lang w:val="uk-UA"/>
        </w:rPr>
      </w:pPr>
    </w:p>
    <w:p w:rsidR="003406B3" w:rsidRPr="00D160D2" w:rsidRDefault="003406B3" w:rsidP="0093228E">
      <w:pPr>
        <w:spacing w:after="0"/>
        <w:jc w:val="center"/>
        <w:rPr>
          <w:sz w:val="22"/>
          <w:szCs w:val="22"/>
          <w:lang w:val="ru-RU"/>
        </w:rPr>
      </w:pPr>
      <w:proofErr w:type="spellStart"/>
      <w:r w:rsidRPr="00D160D2">
        <w:rPr>
          <w:color w:val="auto"/>
          <w:sz w:val="22"/>
          <w:szCs w:val="22"/>
          <w:lang w:val="ru-RU"/>
        </w:rPr>
        <w:t>Уповноважена</w:t>
      </w:r>
      <w:proofErr w:type="spellEnd"/>
      <w:r w:rsidRPr="00D160D2">
        <w:rPr>
          <w:color w:val="auto"/>
          <w:sz w:val="22"/>
          <w:szCs w:val="22"/>
          <w:lang w:val="ru-RU"/>
        </w:rPr>
        <w:t xml:space="preserve"> особа </w:t>
      </w:r>
      <w:r w:rsidRPr="00D160D2">
        <w:rPr>
          <w:color w:val="auto"/>
          <w:sz w:val="22"/>
          <w:szCs w:val="22"/>
          <w:lang w:val="ru-RU"/>
        </w:rPr>
        <w:tab/>
      </w:r>
      <w:r w:rsidR="0056669B" w:rsidRPr="00D160D2">
        <w:rPr>
          <w:color w:val="auto"/>
          <w:sz w:val="22"/>
          <w:szCs w:val="22"/>
          <w:lang w:val="ru-RU"/>
        </w:rPr>
        <w:t xml:space="preserve">         </w:t>
      </w:r>
      <w:r w:rsidR="00735B82">
        <w:rPr>
          <w:color w:val="auto"/>
          <w:sz w:val="22"/>
          <w:szCs w:val="22"/>
          <w:lang w:val="ru-RU"/>
        </w:rPr>
        <w:t xml:space="preserve">                                </w:t>
      </w:r>
      <w:r w:rsidRPr="00D160D2">
        <w:rPr>
          <w:color w:val="auto"/>
          <w:sz w:val="22"/>
          <w:szCs w:val="22"/>
          <w:lang w:val="ru-RU"/>
        </w:rPr>
        <w:tab/>
      </w:r>
      <w:r w:rsidRPr="00D160D2">
        <w:rPr>
          <w:color w:val="auto"/>
          <w:sz w:val="22"/>
          <w:szCs w:val="22"/>
          <w:lang w:val="ru-RU"/>
        </w:rPr>
        <w:tab/>
      </w:r>
      <w:r w:rsidRPr="00D160D2">
        <w:rPr>
          <w:color w:val="auto"/>
          <w:sz w:val="22"/>
          <w:szCs w:val="22"/>
          <w:lang w:val="ru-RU"/>
        </w:rPr>
        <w:tab/>
      </w:r>
      <w:proofErr w:type="spellStart"/>
      <w:r w:rsidR="006F0EC8" w:rsidRPr="00D160D2">
        <w:rPr>
          <w:color w:val="auto"/>
          <w:sz w:val="22"/>
          <w:szCs w:val="22"/>
          <w:lang w:val="ru-RU"/>
        </w:rPr>
        <w:t>Мар’яна</w:t>
      </w:r>
      <w:proofErr w:type="spellEnd"/>
      <w:proofErr w:type="gramStart"/>
      <w:r w:rsidR="006F0EC8" w:rsidRPr="00D160D2">
        <w:rPr>
          <w:color w:val="auto"/>
          <w:sz w:val="22"/>
          <w:szCs w:val="22"/>
          <w:lang w:val="ru-RU"/>
        </w:rPr>
        <w:t xml:space="preserve"> Ж</w:t>
      </w:r>
      <w:proofErr w:type="gramEnd"/>
      <w:r w:rsidR="006F0EC8" w:rsidRPr="00D160D2">
        <w:rPr>
          <w:color w:val="auto"/>
          <w:sz w:val="22"/>
          <w:szCs w:val="22"/>
          <w:lang w:val="ru-RU"/>
        </w:rPr>
        <w:t>ІНЧИН</w:t>
      </w:r>
    </w:p>
    <w:sectPr w:rsidR="003406B3" w:rsidRPr="00D160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D3B91"/>
    <w:rsid w:val="00115087"/>
    <w:rsid w:val="001271EA"/>
    <w:rsid w:val="00131AA5"/>
    <w:rsid w:val="00145178"/>
    <w:rsid w:val="001655A5"/>
    <w:rsid w:val="00173767"/>
    <w:rsid w:val="001A694F"/>
    <w:rsid w:val="001B6BB3"/>
    <w:rsid w:val="002054DD"/>
    <w:rsid w:val="002536CD"/>
    <w:rsid w:val="002B5F04"/>
    <w:rsid w:val="002E48E6"/>
    <w:rsid w:val="003406B3"/>
    <w:rsid w:val="00371776"/>
    <w:rsid w:val="0040487B"/>
    <w:rsid w:val="00417478"/>
    <w:rsid w:val="00495C60"/>
    <w:rsid w:val="0055545C"/>
    <w:rsid w:val="0056669B"/>
    <w:rsid w:val="005714A3"/>
    <w:rsid w:val="00611419"/>
    <w:rsid w:val="00623F16"/>
    <w:rsid w:val="00642084"/>
    <w:rsid w:val="00676EC0"/>
    <w:rsid w:val="006F0EC8"/>
    <w:rsid w:val="00735B82"/>
    <w:rsid w:val="0077412A"/>
    <w:rsid w:val="00811328"/>
    <w:rsid w:val="0093228E"/>
    <w:rsid w:val="00A04035"/>
    <w:rsid w:val="00A36D4B"/>
    <w:rsid w:val="00A40974"/>
    <w:rsid w:val="00AA0AD9"/>
    <w:rsid w:val="00AA49AB"/>
    <w:rsid w:val="00AB76F0"/>
    <w:rsid w:val="00AC4A34"/>
    <w:rsid w:val="00B05137"/>
    <w:rsid w:val="00B30AB2"/>
    <w:rsid w:val="00BC3399"/>
    <w:rsid w:val="00BC6799"/>
    <w:rsid w:val="00C3150C"/>
    <w:rsid w:val="00C76BE8"/>
    <w:rsid w:val="00C833F8"/>
    <w:rsid w:val="00CF54D1"/>
    <w:rsid w:val="00D160D2"/>
    <w:rsid w:val="00D35C73"/>
    <w:rsid w:val="00DD5C66"/>
    <w:rsid w:val="00E4421A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BE8F-D6DE-4ED0-8B33-4A4F5F6C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2023-11-03T13:33:00Z</cp:lastPrinted>
  <dcterms:created xsi:type="dcterms:W3CDTF">2023-08-01T06:45:00Z</dcterms:created>
  <dcterms:modified xsi:type="dcterms:W3CDTF">2023-11-03T13:33:00Z</dcterms:modified>
</cp:coreProperties>
</file>