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D35C73" w:rsidRDefault="00AB76F0" w:rsidP="00D35C73">
      <w:pPr>
        <w:spacing w:after="0"/>
        <w:jc w:val="center"/>
        <w:rPr>
          <w:b/>
        </w:rPr>
      </w:pPr>
      <w:proofErr w:type="spellStart"/>
      <w:r w:rsidRPr="00D35C73">
        <w:rPr>
          <w:b/>
        </w:rPr>
        <w:t>технічних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якісних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характеристик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електричної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енергії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розміру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бюджетного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призначення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очікуваної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вартості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предмета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(</w:t>
      </w:r>
      <w:proofErr w:type="spellStart"/>
      <w:r w:rsidRPr="00D35C73">
        <w:rPr>
          <w:b/>
        </w:rPr>
        <w:t>оприлюднюється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на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виконання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постанови</w:t>
      </w:r>
      <w:proofErr w:type="spellEnd"/>
      <w:r w:rsidRPr="00D35C73">
        <w:rPr>
          <w:b/>
        </w:rPr>
        <w:t xml:space="preserve"> КМУ № 710 </w:t>
      </w:r>
      <w:proofErr w:type="spellStart"/>
      <w:r w:rsidRPr="00D35C73">
        <w:rPr>
          <w:b/>
        </w:rPr>
        <w:t>від</w:t>
      </w:r>
      <w:proofErr w:type="spellEnd"/>
      <w:r w:rsidRPr="00D35C73">
        <w:rPr>
          <w:b/>
        </w:rPr>
        <w:t xml:space="preserve"> 11.10.2016 «</w:t>
      </w:r>
      <w:proofErr w:type="spellStart"/>
      <w:r w:rsidRPr="00D35C73">
        <w:rPr>
          <w:b/>
        </w:rPr>
        <w:t>Про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ефективне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використання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державних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коштів</w:t>
      </w:r>
      <w:proofErr w:type="spellEnd"/>
      <w:r w:rsidRPr="00D35C73">
        <w:rPr>
          <w:b/>
        </w:rPr>
        <w:t>» (</w:t>
      </w:r>
      <w:proofErr w:type="spellStart"/>
      <w:r w:rsidRPr="00D35C73">
        <w:rPr>
          <w:b/>
        </w:rPr>
        <w:t>зі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змінами</w:t>
      </w:r>
      <w:proofErr w:type="spellEnd"/>
      <w:r w:rsidRPr="00D35C73">
        <w:rPr>
          <w:b/>
        </w:rPr>
        <w:t>))</w:t>
      </w:r>
    </w:p>
    <w:p w:rsidR="00AB76F0" w:rsidRPr="00D35C7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 xml:space="preserve">Природний газ за кодом ДК 021:2015 </w:t>
      </w:r>
      <w:r w:rsidR="0011180E">
        <w:rPr>
          <w:rFonts w:eastAsia="Times New Roman"/>
          <w:bCs/>
          <w:color w:val="auto"/>
          <w:lang w:val="uk-UA"/>
        </w:rPr>
        <w:t xml:space="preserve">- </w:t>
      </w:r>
      <w:r w:rsidRPr="000563C2">
        <w:rPr>
          <w:rFonts w:eastAsia="Times New Roman"/>
          <w:bCs/>
          <w:color w:val="auto"/>
          <w:lang w:val="uk-UA"/>
        </w:rPr>
        <w:t>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т.ч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bookmarkStart w:id="0" w:name="_GoBack"/>
      <w:bookmarkEnd w:id="0"/>
    </w:p>
    <w:p w:rsidR="00736F3D" w:rsidRPr="00356C5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356C52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356C5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>:</w:t>
      </w:r>
      <w:r w:rsidRPr="00356C52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356C52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gramStart"/>
      <w:r w:rsidRPr="00356C52">
        <w:rPr>
          <w:rFonts w:eastAsia="Times New Roman"/>
          <w:color w:val="auto"/>
        </w:rPr>
        <w:t>UA</w:t>
      </w:r>
      <w:r w:rsidRPr="00356C52">
        <w:rPr>
          <w:rFonts w:eastAsia="Times New Roman"/>
          <w:color w:val="auto"/>
          <w:lang w:val="ru-RU"/>
        </w:rPr>
        <w:t>-2024-09-10-011079-</w:t>
      </w:r>
      <w:r w:rsidRPr="00356C52">
        <w:rPr>
          <w:rFonts w:eastAsia="Times New Roman"/>
          <w:color w:val="auto"/>
        </w:rPr>
        <w:t>a</w:t>
      </w:r>
      <w:r w:rsidR="00736F3D" w:rsidRPr="00356C52">
        <w:rPr>
          <w:rFonts w:eastAsia="Times New Roman"/>
          <w:color w:val="auto"/>
          <w:lang w:val="uk-UA"/>
        </w:rPr>
        <w:t>.</w:t>
      </w:r>
      <w:proofErr w:type="gramEnd"/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BA397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BA3977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BA3977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>:</w:t>
      </w:r>
      <w:r w:rsidRPr="00BA3977">
        <w:rPr>
          <w:rFonts w:eastAsia="Times New Roman"/>
          <w:color w:val="auto"/>
        </w:rPr>
        <w:t> </w:t>
      </w:r>
    </w:p>
    <w:p w:rsidR="00BA3977" w:rsidRDefault="00AA53F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color w:val="auto"/>
          <w:lang w:val="uk-UA"/>
        </w:rPr>
        <w:t>відкриті</w:t>
      </w:r>
      <w:r w:rsidR="00BA3977" w:rsidRPr="00BA3977">
        <w:rPr>
          <w:rFonts w:eastAsia="Times New Roman"/>
          <w:color w:val="auto"/>
          <w:lang w:val="uk-UA"/>
        </w:rPr>
        <w:t xml:space="preserve"> торги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згідно ЗУ «Про публічні закупівлі», з урахуванням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Постанови КМУ № 1178 від 12.10.2022 року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BA3977">
        <w:rPr>
          <w:rFonts w:eastAsia="Times New Roman"/>
          <w:color w:val="auto"/>
          <w:lang w:val="uk-UA"/>
        </w:rPr>
        <w:t xml:space="preserve">» </w:t>
      </w:r>
      <w:r w:rsidR="00BA3977" w:rsidRPr="00BA3977">
        <w:rPr>
          <w:rFonts w:eastAsia="Times New Roman"/>
          <w:color w:val="auto"/>
          <w:lang w:val="uk-UA"/>
        </w:rPr>
        <w:t>(надалі – Особливості)</w:t>
      </w:r>
      <w:r w:rsidR="00BA3977">
        <w:rPr>
          <w:rFonts w:eastAsia="Times New Roman"/>
          <w:color w:val="auto"/>
          <w:lang w:val="uk-UA"/>
        </w:rPr>
        <w:t>.</w:t>
      </w:r>
    </w:p>
    <w:p w:rsidR="00736F3D" w:rsidRPr="00736F3D" w:rsidRDefault="00BA397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 xml:space="preserve"> </w:t>
      </w: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255C6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255C64">
        <w:rPr>
          <w:rFonts w:eastAsia="Times New Roman"/>
          <w:bCs/>
          <w:color w:val="auto"/>
          <w:lang w:val="uk-UA"/>
        </w:rPr>
        <w:t>2 464 377,60 грн. (Два мільйони чотириста шістдесят чотири тисячі триста сімдесят сім грн. 60 коп.), з ПДВ</w:t>
      </w:r>
      <w:r w:rsidR="00736F3D" w:rsidRPr="00255C64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</w:t>
      </w:r>
      <w:r w:rsidRPr="00255C64">
        <w:rPr>
          <w:rFonts w:eastAsia="Times New Roman"/>
          <w:color w:val="auto"/>
          <w:lang w:val="ru-RU"/>
        </w:rPr>
        <w:t xml:space="preserve">за </w:t>
      </w:r>
      <w:proofErr w:type="spellStart"/>
      <w:r w:rsidRPr="00255C64">
        <w:rPr>
          <w:rFonts w:eastAsia="Times New Roman"/>
          <w:color w:val="auto"/>
          <w:lang w:val="ru-RU"/>
        </w:rPr>
        <w:t>календарний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рік</w:t>
      </w:r>
      <w:proofErr w:type="spellEnd"/>
      <w:r w:rsidRPr="00255C64">
        <w:rPr>
          <w:rFonts w:eastAsia="Times New Roman"/>
          <w:color w:val="auto"/>
          <w:lang w:val="ru-RU"/>
        </w:rPr>
        <w:t xml:space="preserve"> (</w:t>
      </w:r>
      <w:proofErr w:type="spellStart"/>
      <w:r w:rsidRPr="00255C64">
        <w:rPr>
          <w:rFonts w:eastAsia="Times New Roman"/>
          <w:color w:val="auto"/>
          <w:lang w:val="ru-RU"/>
        </w:rPr>
        <w:t>бюджетний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період</w:t>
      </w:r>
      <w:proofErr w:type="spellEnd"/>
      <w:r w:rsidRPr="00255C64">
        <w:rPr>
          <w:rFonts w:eastAsia="Times New Roman"/>
          <w:color w:val="auto"/>
          <w:lang w:val="ru-RU"/>
        </w:rPr>
        <w:t>) 202</w:t>
      </w:r>
      <w:r w:rsidR="00B1532E" w:rsidRPr="00255C64">
        <w:rPr>
          <w:rFonts w:eastAsia="Times New Roman"/>
          <w:color w:val="auto"/>
          <w:lang w:val="ru-RU"/>
        </w:rPr>
        <w:t>3</w:t>
      </w:r>
      <w:r w:rsidRPr="00255C64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255C64">
        <w:rPr>
          <w:rFonts w:eastAsia="Times New Roman"/>
          <w:color w:val="auto"/>
          <w:lang w:val="ru-RU"/>
        </w:rPr>
        <w:t>Планування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закупівель</w:t>
      </w:r>
      <w:proofErr w:type="spellEnd"/>
      <w:r w:rsidRPr="00255C64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255C64">
        <w:rPr>
          <w:rFonts w:eastAsia="Times New Roman"/>
          <w:color w:val="auto"/>
          <w:lang w:val="ru-RU"/>
        </w:rPr>
        <w:t>числі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визначення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очікуваної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вартості</w:t>
      </w:r>
      <w:proofErr w:type="spellEnd"/>
      <w:r w:rsidRPr="00255C64">
        <w:rPr>
          <w:rFonts w:eastAsia="Times New Roman"/>
          <w:color w:val="auto"/>
          <w:lang w:val="ru-RU"/>
        </w:rPr>
        <w:t xml:space="preserve">, є </w:t>
      </w:r>
      <w:proofErr w:type="spellStart"/>
      <w:r w:rsidRPr="00255C64">
        <w:rPr>
          <w:rFonts w:eastAsia="Times New Roman"/>
          <w:color w:val="auto"/>
          <w:lang w:val="ru-RU"/>
        </w:rPr>
        <w:t>динамічним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55C64">
        <w:rPr>
          <w:rFonts w:eastAsia="Times New Roman"/>
          <w:color w:val="auto"/>
          <w:lang w:val="ru-RU"/>
        </w:rPr>
        <w:t>безперервним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процесом</w:t>
      </w:r>
      <w:proofErr w:type="spellEnd"/>
      <w:r w:rsidRPr="00255C64">
        <w:rPr>
          <w:rFonts w:eastAsia="Times New Roman"/>
          <w:color w:val="auto"/>
          <w:lang w:val="ru-RU"/>
        </w:rPr>
        <w:t xml:space="preserve">, </w:t>
      </w:r>
      <w:proofErr w:type="spellStart"/>
      <w:r w:rsidRPr="00255C64">
        <w:rPr>
          <w:rFonts w:eastAsia="Times New Roman"/>
          <w:color w:val="auto"/>
          <w:lang w:val="ru-RU"/>
        </w:rPr>
        <w:t>що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здійснюється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замовниками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п</w:t>
      </w:r>
      <w:proofErr w:type="gramEnd"/>
      <w:r w:rsidRPr="006A5270">
        <w:rPr>
          <w:rFonts w:eastAsia="Times New Roman"/>
          <w:color w:val="auto"/>
          <w:lang w:val="ru-RU"/>
        </w:rPr>
        <w:t>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Кр</w:t>
      </w:r>
      <w:proofErr w:type="gramEnd"/>
      <w:r w:rsidRPr="006A5270">
        <w:rPr>
          <w:rFonts w:eastAsia="Times New Roman"/>
          <w:color w:val="auto"/>
          <w:lang w:val="ru-RU"/>
        </w:rPr>
        <w:t>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</w:t>
      </w:r>
      <w:proofErr w:type="gramStart"/>
      <w:r w:rsidRPr="00CF54D1">
        <w:rPr>
          <w:rFonts w:eastAsia="Times New Roman"/>
          <w:color w:val="auto"/>
          <w:lang w:val="ru-RU"/>
        </w:rPr>
        <w:t>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</w:t>
      </w:r>
      <w:proofErr w:type="gramEnd"/>
      <w:r w:rsidRPr="00CF54D1">
        <w:rPr>
          <w:rFonts w:eastAsia="Times New Roman"/>
          <w:color w:val="auto"/>
          <w:lang w:val="ru-RU"/>
        </w:rPr>
        <w:t xml:space="preserve">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lastRenderedPageBreak/>
        <w:t xml:space="preserve">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з </w:t>
      </w:r>
      <w:r w:rsidR="002326B5" w:rsidRPr="0011180E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11180E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11180E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11180E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11180E">
        <w:rPr>
          <w:rFonts w:eastAsia="Times New Roman"/>
          <w:color w:val="auto"/>
          <w:lang w:val="ru-RU"/>
        </w:rPr>
        <w:t xml:space="preserve"> </w:t>
      </w:r>
      <w:r w:rsidR="0011180E" w:rsidRPr="0011180E">
        <w:rPr>
          <w:rFonts w:eastAsia="Times New Roman"/>
          <w:color w:val="auto"/>
          <w:lang w:val="ru-RU"/>
        </w:rPr>
        <w:t xml:space="preserve">12 </w:t>
      </w:r>
      <w:proofErr w:type="spellStart"/>
      <w:r w:rsidR="0011180E" w:rsidRPr="0011180E">
        <w:rPr>
          <w:rFonts w:eastAsia="Times New Roman"/>
          <w:color w:val="auto"/>
          <w:lang w:val="ru-RU"/>
        </w:rPr>
        <w:t>серпня</w:t>
      </w:r>
      <w:proofErr w:type="spellEnd"/>
      <w:r w:rsidR="0011180E" w:rsidRPr="0011180E">
        <w:rPr>
          <w:rFonts w:eastAsia="Times New Roman"/>
          <w:color w:val="auto"/>
          <w:lang w:val="ru-RU"/>
        </w:rPr>
        <w:t xml:space="preserve"> 2024</w:t>
      </w:r>
      <w:r w:rsidR="00824BB8" w:rsidRPr="0011180E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824BB8" w:rsidRPr="0011180E">
        <w:rPr>
          <w:rFonts w:eastAsia="Times New Roman"/>
          <w:color w:val="auto"/>
          <w:lang w:val="ru-RU"/>
        </w:rPr>
        <w:t>строком</w:t>
      </w:r>
      <w:proofErr w:type="spellEnd"/>
      <w:r w:rsidR="00824BB8" w:rsidRPr="0011180E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824BB8" w:rsidRPr="0011180E">
        <w:rPr>
          <w:rFonts w:eastAsia="Times New Roman"/>
          <w:color w:val="auto"/>
          <w:lang w:val="ru-RU"/>
        </w:rPr>
        <w:t>діб</w:t>
      </w:r>
      <w:proofErr w:type="spellEnd"/>
      <w:r w:rsidRPr="0011180E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11180E">
        <w:rPr>
          <w:rFonts w:eastAsia="Times New Roman"/>
          <w:color w:val="auto"/>
          <w:lang w:val="ru-RU"/>
        </w:rPr>
        <w:t>Так 23.08.2024</w:t>
      </w:r>
      <w:r w:rsidR="00E177EC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11180E">
        <w:rPr>
          <w:rFonts w:eastAsia="Times New Roman"/>
          <w:color w:val="auto"/>
          <w:lang w:val="ru-RU"/>
        </w:rPr>
        <w:t>Кабінету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Міні</w:t>
      </w:r>
      <w:proofErr w:type="gramStart"/>
      <w:r w:rsidR="0011180E">
        <w:rPr>
          <w:rFonts w:eastAsia="Times New Roman"/>
          <w:color w:val="auto"/>
          <w:lang w:val="ru-RU"/>
        </w:rPr>
        <w:t>стр</w:t>
      </w:r>
      <w:proofErr w:type="gramEnd"/>
      <w:r w:rsidR="0011180E">
        <w:rPr>
          <w:rFonts w:eastAsia="Times New Roman"/>
          <w:color w:val="auto"/>
          <w:lang w:val="ru-RU"/>
        </w:rPr>
        <w:t>ів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України</w:t>
      </w:r>
      <w:proofErr w:type="spellEnd"/>
      <w:r w:rsidR="0011180E">
        <w:rPr>
          <w:rFonts w:eastAsia="Times New Roman"/>
          <w:color w:val="auto"/>
          <w:lang w:val="ru-RU"/>
        </w:rPr>
        <w:t xml:space="preserve"> № 957</w:t>
      </w:r>
      <w:r w:rsidR="00E177EC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</w:t>
      </w:r>
      <w:proofErr w:type="gramStart"/>
      <w:r w:rsidR="00E177EC">
        <w:rPr>
          <w:rFonts w:eastAsia="Times New Roman"/>
          <w:color w:val="auto"/>
          <w:lang w:val="ru-RU"/>
        </w:rPr>
        <w:t>стр</w:t>
      </w:r>
      <w:proofErr w:type="gramEnd"/>
      <w:r w:rsidR="00E177EC">
        <w:rPr>
          <w:rFonts w:eastAsia="Times New Roman"/>
          <w:color w:val="auto"/>
          <w:lang w:val="ru-RU"/>
        </w:rPr>
        <w:t>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</w:t>
      </w:r>
      <w:proofErr w:type="spellStart"/>
      <w:r w:rsidR="00E177EC">
        <w:rPr>
          <w:rFonts w:eastAsia="Times New Roman"/>
          <w:color w:val="auto"/>
          <w:lang w:val="ru-RU"/>
        </w:rPr>
        <w:t>липня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дію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МІнітсрів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</w:t>
      </w:r>
      <w:proofErr w:type="gramStart"/>
      <w:r w:rsidR="00E177EC" w:rsidRPr="00E177EC">
        <w:rPr>
          <w:rFonts w:eastAsia="Times New Roman"/>
          <w:color w:val="auto"/>
          <w:lang w:val="ru-RU"/>
        </w:rPr>
        <w:t>природного</w:t>
      </w:r>
      <w:proofErr w:type="gramEnd"/>
      <w:r w:rsidR="00E177EC" w:rsidRPr="00E177EC">
        <w:rPr>
          <w:rFonts w:eastAsia="Times New Roman"/>
          <w:color w:val="auto"/>
          <w:lang w:val="ru-RU"/>
        </w:rPr>
        <w:t xml:space="preserve">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11180E">
        <w:rPr>
          <w:rFonts w:eastAsia="Times New Roman"/>
          <w:b/>
          <w:color w:val="auto"/>
          <w:lang w:val="ru-RU"/>
        </w:rPr>
        <w:t xml:space="preserve">«30» </w:t>
      </w:r>
      <w:proofErr w:type="spellStart"/>
      <w:r w:rsidR="0011180E">
        <w:rPr>
          <w:rFonts w:eastAsia="Times New Roman"/>
          <w:b/>
          <w:color w:val="auto"/>
          <w:lang w:val="ru-RU"/>
        </w:rPr>
        <w:t>квітня</w:t>
      </w:r>
      <w:proofErr w:type="spellEnd"/>
      <w:r w:rsidR="0011180E">
        <w:rPr>
          <w:rFonts w:eastAsia="Times New Roman"/>
          <w:b/>
          <w:color w:val="auto"/>
          <w:lang w:val="ru-RU"/>
        </w:rPr>
        <w:t xml:space="preserve"> 2025</w:t>
      </w:r>
      <w:r w:rsidR="00E177EC" w:rsidRPr="00E177EC">
        <w:rPr>
          <w:rFonts w:eastAsia="Times New Roman"/>
          <w:b/>
          <w:color w:val="auto"/>
          <w:lang w:val="ru-RU"/>
        </w:rPr>
        <w:t xml:space="preserve"> року</w:t>
      </w:r>
      <w:r w:rsidR="0011180E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="0011180E">
        <w:rPr>
          <w:rFonts w:eastAsia="Times New Roman"/>
          <w:b/>
          <w:color w:val="auto"/>
          <w:lang w:val="ru-RU"/>
        </w:rPr>
        <w:t>включно</w:t>
      </w:r>
      <w:proofErr w:type="spellEnd"/>
      <w:r w:rsidR="0011180E">
        <w:rPr>
          <w:rFonts w:eastAsia="Times New Roman"/>
          <w:b/>
          <w:color w:val="auto"/>
          <w:lang w:val="ru-RU"/>
        </w:rPr>
        <w:t>)</w:t>
      </w:r>
      <w:r w:rsidR="00E177EC" w:rsidRPr="00E177EC">
        <w:rPr>
          <w:rFonts w:eastAsia="Times New Roman"/>
          <w:b/>
          <w:color w:val="auto"/>
          <w:lang w:val="ru-RU"/>
        </w:rPr>
        <w:t>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>
        <w:rPr>
          <w:rFonts w:eastAsia="Times New Roman"/>
          <w:color w:val="auto"/>
          <w:lang w:val="ru-RU"/>
        </w:rPr>
        <w:t>ТОВ</w:t>
      </w:r>
      <w:proofErr w:type="gram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Нафтогаз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Трейдинг</w:t>
      </w:r>
      <w:proofErr w:type="spellEnd"/>
      <w:r w:rsidR="00E177EC">
        <w:rPr>
          <w:rFonts w:eastAsia="Times New Roman"/>
          <w:color w:val="auto"/>
          <w:lang w:val="ru-RU"/>
        </w:rPr>
        <w:t xml:space="preserve">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</w:t>
      </w:r>
      <w:proofErr w:type="spellStart"/>
      <w:r w:rsidR="00E177EC">
        <w:rPr>
          <w:rFonts w:eastAsia="Times New Roman"/>
          <w:color w:val="auto"/>
          <w:lang w:val="ru-RU"/>
        </w:rPr>
        <w:t>вересня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</w:t>
      </w:r>
      <w:r w:rsidR="00B1532E">
        <w:rPr>
          <w:rFonts w:eastAsia="Times New Roman"/>
          <w:color w:val="auto"/>
          <w:lang w:val="ru-RU"/>
        </w:rPr>
        <w:t>2</w:t>
      </w:r>
      <w:r w:rsidR="0011180E">
        <w:rPr>
          <w:rFonts w:eastAsia="Times New Roman"/>
          <w:color w:val="auto"/>
          <w:lang w:val="ru-RU"/>
        </w:rPr>
        <w:t xml:space="preserve"> року по 30 </w:t>
      </w:r>
      <w:proofErr w:type="spellStart"/>
      <w:r w:rsidR="0011180E">
        <w:rPr>
          <w:rFonts w:eastAsia="Times New Roman"/>
          <w:color w:val="auto"/>
          <w:lang w:val="ru-RU"/>
        </w:rPr>
        <w:t>квітня</w:t>
      </w:r>
      <w:proofErr w:type="spellEnd"/>
      <w:r w:rsidR="0011180E">
        <w:rPr>
          <w:rFonts w:eastAsia="Times New Roman"/>
          <w:color w:val="auto"/>
          <w:lang w:val="ru-RU"/>
        </w:rPr>
        <w:t xml:space="preserve"> 2025</w:t>
      </w:r>
      <w:r w:rsidR="00E177E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r w:rsidR="00E177EC" w:rsidRPr="00BA3977">
        <w:rPr>
          <w:rFonts w:eastAsia="Times New Roman"/>
          <w:color w:val="auto"/>
          <w:lang w:val="ru-RU"/>
        </w:rPr>
        <w:t xml:space="preserve">становить 16 390 </w:t>
      </w:r>
      <w:proofErr w:type="spellStart"/>
      <w:r w:rsidR="00E177EC" w:rsidRPr="00BA3977">
        <w:rPr>
          <w:rFonts w:eastAsia="Times New Roman"/>
          <w:color w:val="auto"/>
          <w:lang w:val="ru-RU"/>
        </w:rPr>
        <w:t>гривень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додану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вартість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E177EC">
        <w:rPr>
          <w:rFonts w:eastAsia="Times New Roman"/>
          <w:color w:val="auto"/>
          <w:lang w:val="ru-RU"/>
        </w:rPr>
        <w:t>куб.метівр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proofErr w:type="gram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</w:t>
      </w:r>
      <w:proofErr w:type="spellStart"/>
      <w:r w:rsidR="002157D0">
        <w:rPr>
          <w:rFonts w:eastAsia="Times New Roman"/>
          <w:color w:val="auto"/>
          <w:lang w:val="ru-RU"/>
        </w:rPr>
        <w:t>добу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наперед).</w:t>
      </w:r>
      <w:proofErr w:type="gramEnd"/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proofErr w:type="gram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proofErr w:type="gram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постанов,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</w:t>
      </w:r>
      <w:proofErr w:type="gramStart"/>
      <w:r w:rsidRPr="00CF54D1">
        <w:rPr>
          <w:rFonts w:eastAsia="Times New Roman"/>
          <w:color w:val="auto"/>
          <w:lang w:val="ru-RU"/>
        </w:rPr>
        <w:t>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  <w:proofErr w:type="gramEnd"/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356C52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1" w:name="n85"/>
            <w:bookmarkEnd w:id="1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</w:t>
            </w:r>
            <w:proofErr w:type="gramStart"/>
            <w:r w:rsidRPr="002157D0">
              <w:rPr>
                <w:rFonts w:eastAsia="Times New Roman"/>
                <w:color w:val="auto"/>
                <w:lang w:val="ru-RU"/>
              </w:rPr>
              <w:t>вл</w:t>
            </w:r>
            <w:proofErr w:type="gramEnd"/>
            <w:r w:rsidRPr="002157D0">
              <w:rPr>
                <w:rFonts w:eastAsia="Times New Roman"/>
                <w:color w:val="auto"/>
                <w:lang w:val="ru-RU"/>
              </w:rPr>
              <w:t>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356C52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356C52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356C52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356C52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356C52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</w:t>
      </w:r>
      <w:proofErr w:type="gramStart"/>
      <w:r w:rsidRPr="00F8111C">
        <w:rPr>
          <w:rFonts w:eastAsia="Times New Roman"/>
          <w:color w:val="auto"/>
          <w:lang w:val="ru-RU"/>
        </w:rPr>
        <w:t>стр</w:t>
      </w:r>
      <w:proofErr w:type="gramEnd"/>
      <w:r w:rsidRPr="00F8111C">
        <w:rPr>
          <w:rFonts w:eastAsia="Times New Roman"/>
          <w:color w:val="auto"/>
          <w:lang w:val="ru-RU"/>
        </w:rPr>
        <w:t>ів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356C52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proofErr w:type="spellEnd"/>
      <w:r w:rsidRPr="00356C52">
        <w:rPr>
          <w:rFonts w:eastAsia="Times New Roman"/>
          <w:color w:val="auto"/>
          <w:lang w:val="ru-RU"/>
        </w:rPr>
        <w:t>’</w:t>
      </w:r>
      <w:proofErr w:type="spellStart"/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356C52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356C52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356C52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</w:t>
      </w:r>
      <w:proofErr w:type="spellStart"/>
      <w:r w:rsidRPr="00CF54D1">
        <w:rPr>
          <w:rFonts w:eastAsia="Times New Roman"/>
          <w:color w:val="auto"/>
          <w:lang w:val="ru-RU"/>
        </w:rPr>
        <w:t>також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</w:t>
      </w:r>
      <w:proofErr w:type="gramStart"/>
      <w:r w:rsidR="00B1532E">
        <w:rPr>
          <w:rFonts w:eastAsia="Times New Roman"/>
          <w:color w:val="auto"/>
          <w:lang w:val="ru-RU"/>
        </w:rPr>
        <w:t>ст</w:t>
      </w:r>
      <w:r w:rsidR="00F8111C" w:rsidRPr="00F8111C">
        <w:rPr>
          <w:rFonts w:eastAsia="Times New Roman"/>
          <w:color w:val="auto"/>
          <w:lang w:val="ru-RU"/>
        </w:rPr>
        <w:t>р</w:t>
      </w:r>
      <w:proofErr w:type="gramEnd"/>
      <w:r w:rsidR="00F8111C" w:rsidRPr="00F8111C">
        <w:rPr>
          <w:rFonts w:eastAsia="Times New Roman"/>
          <w:color w:val="auto"/>
          <w:lang w:val="ru-RU"/>
        </w:rPr>
        <w:t>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ТОВ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Нафтогаз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Трейдинг</w:t>
      </w:r>
      <w:proofErr w:type="spellEnd"/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AA53F4">
        <w:rPr>
          <w:rFonts w:eastAsia="Times New Roman"/>
          <w:color w:val="auto"/>
          <w:lang w:val="ru-RU"/>
        </w:rPr>
        <w:t xml:space="preserve">з 1 </w:t>
      </w:r>
      <w:proofErr w:type="spellStart"/>
      <w:r w:rsidR="00AA53F4">
        <w:rPr>
          <w:rFonts w:eastAsia="Times New Roman"/>
          <w:color w:val="auto"/>
          <w:lang w:val="ru-RU"/>
        </w:rPr>
        <w:t>вересня</w:t>
      </w:r>
      <w:proofErr w:type="spellEnd"/>
      <w:r w:rsidR="00AA53F4">
        <w:rPr>
          <w:rFonts w:eastAsia="Times New Roman"/>
          <w:color w:val="auto"/>
          <w:lang w:val="ru-RU"/>
        </w:rPr>
        <w:t xml:space="preserve"> 2022 року по 30 </w:t>
      </w:r>
      <w:proofErr w:type="spellStart"/>
      <w:r w:rsidR="00AA53F4">
        <w:rPr>
          <w:rFonts w:eastAsia="Times New Roman"/>
          <w:color w:val="auto"/>
          <w:lang w:val="ru-RU"/>
        </w:rPr>
        <w:t>квітня</w:t>
      </w:r>
      <w:proofErr w:type="spellEnd"/>
      <w:r w:rsidR="00AA53F4">
        <w:rPr>
          <w:rFonts w:eastAsia="Times New Roman"/>
          <w:color w:val="auto"/>
          <w:lang w:val="ru-RU"/>
        </w:rPr>
        <w:t xml:space="preserve"> 2025</w:t>
      </w:r>
      <w:r w:rsidR="00F8111C" w:rsidRPr="00F8111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</w:t>
      </w:r>
      <w:proofErr w:type="gramStart"/>
      <w:r w:rsidRPr="00CF54D1">
        <w:rPr>
          <w:rFonts w:eastAsia="Times New Roman"/>
          <w:color w:val="auto"/>
          <w:lang w:val="ru-RU"/>
        </w:rPr>
        <w:t>при</w:t>
      </w:r>
      <w:proofErr w:type="gram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lastRenderedPageBreak/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BA3977">
        <w:rPr>
          <w:rFonts w:eastAsia="Times New Roman"/>
          <w:color w:val="auto"/>
          <w:lang w:val="ru-RU"/>
        </w:rPr>
        <w:t xml:space="preserve">– </w:t>
      </w:r>
      <w:r w:rsidR="00BA3977" w:rsidRPr="00BA3977">
        <w:rPr>
          <w:rFonts w:eastAsia="Times New Roman"/>
          <w:color w:val="auto"/>
          <w:lang w:val="uk-UA"/>
        </w:rPr>
        <w:t>відкриті торги згідно ЗУ «Про публічні закупівлі», з урахуванням Особливостей</w:t>
      </w:r>
      <w:r w:rsidRPr="00BA3977">
        <w:rPr>
          <w:rFonts w:eastAsia="Times New Roman"/>
          <w:color w:val="auto"/>
          <w:lang w:val="ru-RU"/>
        </w:rPr>
        <w:t>.</w:t>
      </w:r>
    </w:p>
    <w:p w:rsidR="00AD1EA7" w:rsidRDefault="00AD1EA7" w:rsidP="00AD1EA7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AD1EA7" w:rsidRPr="00AD4832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Розмі</w:t>
      </w:r>
      <w:proofErr w:type="gramStart"/>
      <w:r w:rsidRPr="00AD4832">
        <w:rPr>
          <w:rFonts w:eastAsia="Times New Roman"/>
          <w:b/>
          <w:bCs/>
          <w:color w:val="auto"/>
          <w:lang w:val="ru-RU"/>
        </w:rPr>
        <w:t>р</w:t>
      </w:r>
      <w:proofErr w:type="spellEnd"/>
      <w:proofErr w:type="gramEnd"/>
      <w:r w:rsidRPr="00AD4832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 w:rsidRPr="00AD4832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4832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AD4832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</w:t>
      </w:r>
      <w:r w:rsidR="00AD4832" w:rsidRPr="00AD4832">
        <w:rPr>
          <w:rFonts w:eastAsia="Times New Roman"/>
          <w:bCs/>
          <w:color w:val="auto"/>
          <w:lang w:val="uk-UA"/>
        </w:rPr>
        <w:t>затвердженого</w:t>
      </w:r>
      <w:r w:rsidRPr="00AD4832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Pr="00AD4832">
        <w:rPr>
          <w:rFonts w:eastAsia="Times New Roman"/>
          <w:bCs/>
          <w:color w:val="auto"/>
          <w:lang w:val="uk-UA"/>
        </w:rPr>
        <w:t>Першотравневської</w:t>
      </w:r>
      <w:proofErr w:type="spellEnd"/>
      <w:r w:rsidRPr="00AD4832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Дніпропетровської області на 2024 рік.</w:t>
      </w:r>
    </w:p>
    <w:p w:rsidR="00AD1EA7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 w:rsidRPr="00AD4832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>:</w:t>
      </w:r>
    </w:p>
    <w:p w:rsidR="00CF54D1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4832">
        <w:rPr>
          <w:rFonts w:eastAsia="Times New Roman"/>
          <w:color w:val="auto"/>
          <w:lang w:val="ru-RU"/>
        </w:rPr>
        <w:t>Закупівля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r w:rsidRPr="00AD4832">
        <w:rPr>
          <w:rFonts w:eastAsia="Calibri"/>
          <w:color w:val="auto"/>
          <w:lang w:val="uk-UA" w:eastAsia="ru-RU"/>
        </w:rPr>
        <w:t>природного газу</w:t>
      </w:r>
      <w:r w:rsidR="00055466">
        <w:rPr>
          <w:rFonts w:eastAsia="Times New Roman"/>
          <w:color w:val="auto"/>
          <w:lang w:val="ru-RU"/>
        </w:rPr>
        <w:t xml:space="preserve"> </w:t>
      </w:r>
      <w:proofErr w:type="spellStart"/>
      <w:r w:rsidR="00055466">
        <w:rPr>
          <w:rFonts w:eastAsia="Times New Roman"/>
          <w:color w:val="auto"/>
          <w:lang w:val="ru-RU"/>
        </w:rPr>
        <w:t>регулює</w:t>
      </w:r>
      <w:r w:rsidRPr="00AD4832">
        <w:rPr>
          <w:rFonts w:eastAsia="Times New Roman"/>
          <w:color w:val="auto"/>
          <w:lang w:val="ru-RU"/>
        </w:rPr>
        <w:t>ться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4832">
        <w:rPr>
          <w:rFonts w:eastAsia="Times New Roman"/>
          <w:color w:val="auto"/>
          <w:lang w:val="ru-RU"/>
        </w:rPr>
        <w:t>України</w:t>
      </w:r>
      <w:proofErr w:type="spellEnd"/>
      <w:r w:rsidRPr="00AD4832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4832">
        <w:rPr>
          <w:rFonts w:eastAsia="Times New Roman"/>
          <w:color w:val="auto"/>
          <w:lang w:val="ru-RU"/>
        </w:rPr>
        <w:t>публічні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закупі</w:t>
      </w:r>
      <w:proofErr w:type="gramStart"/>
      <w:r w:rsidRPr="00AD4832">
        <w:rPr>
          <w:rFonts w:eastAsia="Times New Roman"/>
          <w:color w:val="auto"/>
          <w:lang w:val="ru-RU"/>
        </w:rPr>
        <w:t>вл</w:t>
      </w:r>
      <w:proofErr w:type="gramEnd"/>
      <w:r w:rsidRPr="00AD4832">
        <w:rPr>
          <w:rFonts w:eastAsia="Times New Roman"/>
          <w:color w:val="auto"/>
          <w:lang w:val="ru-RU"/>
        </w:rPr>
        <w:t>і</w:t>
      </w:r>
      <w:proofErr w:type="spellEnd"/>
      <w:r w:rsidRPr="00AD4832">
        <w:rPr>
          <w:rFonts w:eastAsia="Times New Roman"/>
          <w:color w:val="auto"/>
          <w:lang w:val="ru-RU"/>
        </w:rPr>
        <w:t xml:space="preserve">» </w:t>
      </w:r>
      <w:proofErr w:type="spellStart"/>
      <w:r w:rsidRPr="00AD4832">
        <w:rPr>
          <w:rFonts w:eastAsia="Times New Roman"/>
          <w:color w:val="auto"/>
          <w:lang w:val="ru-RU"/>
        </w:rPr>
        <w:t>від</w:t>
      </w:r>
      <w:proofErr w:type="spellEnd"/>
      <w:r w:rsidRPr="00AD4832">
        <w:rPr>
          <w:rFonts w:eastAsia="Times New Roman"/>
          <w:color w:val="auto"/>
          <w:lang w:val="ru-RU"/>
        </w:rPr>
        <w:t xml:space="preserve"> 25.12.2015 № 922-</w:t>
      </w:r>
      <w:r w:rsidRPr="00AD4832">
        <w:rPr>
          <w:rFonts w:eastAsia="Times New Roman"/>
          <w:color w:val="auto"/>
        </w:rPr>
        <w:t>VIII</w:t>
      </w:r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змінами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proofErr w:type="spellStart"/>
      <w:r w:rsidRPr="00AD4832">
        <w:rPr>
          <w:rFonts w:eastAsia="Times New Roman"/>
          <w:color w:val="auto"/>
          <w:lang w:val="ru-RU"/>
        </w:rPr>
        <w:t>Особливостями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r w:rsidRPr="00AD4832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AD4832">
        <w:rPr>
          <w:rFonts w:eastAsia="Times New Roman"/>
          <w:color w:val="auto"/>
          <w:lang w:val="ru-RU"/>
        </w:rPr>
        <w:t>.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1EA7" w:rsidRPr="00AD4832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Обґрун</w:t>
      </w:r>
      <w:r w:rsidR="00670C56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proofErr w:type="gramStart"/>
      <w:r w:rsidR="00670C56">
        <w:rPr>
          <w:rFonts w:eastAsia="Times New Roman"/>
          <w:b/>
          <w:bCs/>
          <w:color w:val="auto"/>
          <w:lang w:val="ru-RU"/>
        </w:rPr>
        <w:t>техн</w:t>
      </w:r>
      <w:proofErr w:type="gramEnd"/>
      <w:r w:rsidR="00670C56">
        <w:rPr>
          <w:rFonts w:eastAsia="Times New Roman"/>
          <w:b/>
          <w:bCs/>
          <w:color w:val="auto"/>
          <w:lang w:val="ru-RU"/>
        </w:rPr>
        <w:t>ічних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,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кількісних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>: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4832" w:rsidRPr="00AD4832" w:rsidRDefault="00AD4832" w:rsidP="00AD4832">
      <w:pPr>
        <w:jc w:val="both"/>
        <w:rPr>
          <w:rFonts w:eastAsia="Calibri"/>
          <w:color w:val="auto"/>
          <w:lang w:val="uk-UA"/>
        </w:rPr>
      </w:pPr>
      <w:r w:rsidRPr="00AD4832">
        <w:rPr>
          <w:rFonts w:eastAsia="Calibri"/>
          <w:color w:val="auto"/>
          <w:lang w:val="uk-UA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Pr="00AD4832">
        <w:rPr>
          <w:rFonts w:eastAsia="Calibri"/>
          <w:color w:val="auto"/>
          <w:lang w:val="uk-UA"/>
        </w:rPr>
        <w:t>кПа</w:t>
      </w:r>
      <w:proofErr w:type="spellEnd"/>
      <w:r w:rsidRPr="00AD4832">
        <w:rPr>
          <w:rFonts w:eastAsia="Calibri"/>
          <w:color w:val="auto"/>
          <w:lang w:val="uk-UA"/>
        </w:rPr>
        <w:t xml:space="preserve"> (760 мм </w:t>
      </w:r>
      <w:proofErr w:type="spellStart"/>
      <w:r w:rsidRPr="00AD4832">
        <w:rPr>
          <w:rFonts w:eastAsia="Calibri"/>
          <w:color w:val="auto"/>
          <w:lang w:val="uk-UA"/>
        </w:rPr>
        <w:t>рт</w:t>
      </w:r>
      <w:proofErr w:type="spellEnd"/>
      <w:r w:rsidRPr="00AD4832">
        <w:rPr>
          <w:rFonts w:eastAsia="Calibri"/>
          <w:color w:val="auto"/>
          <w:lang w:val="uk-UA"/>
        </w:rPr>
        <w:t>. ст.).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AD4832" w:rsidRPr="00AD4832" w:rsidTr="003B57D0">
        <w:trPr>
          <w:trHeight w:val="131"/>
          <w:jc w:val="center"/>
        </w:trPr>
        <w:tc>
          <w:tcPr>
            <w:tcW w:w="3114" w:type="dxa"/>
            <w:vAlign w:val="center"/>
          </w:tcPr>
          <w:p w:rsidR="00AD4832" w:rsidRPr="00AD4832" w:rsidRDefault="00AD4832" w:rsidP="00AD4832">
            <w:pPr>
              <w:spacing w:after="0"/>
              <w:ind w:firstLine="45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AD4832">
              <w:rPr>
                <w:rFonts w:eastAsia="Calibri"/>
                <w:b/>
                <w:bCs/>
                <w:color w:val="auto"/>
                <w:lang w:val="uk-UA" w:eastAsia="ar-SA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AD4832" w:rsidRPr="00AD4832" w:rsidRDefault="00AD4832" w:rsidP="00AD4832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AD4832">
              <w:rPr>
                <w:rFonts w:eastAsia="Calibri"/>
                <w:b/>
                <w:bCs/>
                <w:color w:val="auto"/>
                <w:lang w:val="uk-UA" w:eastAsia="ar-SA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AD4832" w:rsidRPr="00AD4832" w:rsidRDefault="00AD4832" w:rsidP="00AD4832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AD4832">
              <w:rPr>
                <w:rFonts w:eastAsia="Calibri"/>
                <w:b/>
                <w:color w:val="auto"/>
                <w:lang w:val="uk-UA" w:eastAsia="ar-SA"/>
              </w:rPr>
              <w:t>Кількість товару</w:t>
            </w:r>
          </w:p>
        </w:tc>
      </w:tr>
      <w:tr w:rsidR="00AD4832" w:rsidRPr="00AD4832" w:rsidTr="003B57D0">
        <w:trPr>
          <w:trHeight w:val="42"/>
          <w:jc w:val="center"/>
        </w:trPr>
        <w:tc>
          <w:tcPr>
            <w:tcW w:w="3114" w:type="dxa"/>
            <w:vAlign w:val="center"/>
          </w:tcPr>
          <w:p w:rsidR="00AD4832" w:rsidRPr="00AD4832" w:rsidRDefault="00AD4832" w:rsidP="00AD4832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AD4832">
              <w:rPr>
                <w:rFonts w:eastAsia="Calibri"/>
                <w:color w:val="auto"/>
                <w:lang w:val="uk-UA" w:eastAsia="ar-SA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AD4832" w:rsidRPr="00AD4832" w:rsidRDefault="00AD4832" w:rsidP="00AD4832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AD4832">
              <w:rPr>
                <w:rFonts w:eastAsia="Calibri"/>
                <w:color w:val="auto"/>
                <w:lang w:val="uk-UA" w:eastAsia="ar-SA"/>
              </w:rPr>
              <w:t>м</w:t>
            </w:r>
            <w:r w:rsidRPr="00AD4832">
              <w:rPr>
                <w:rFonts w:eastAsia="Calibri"/>
                <w:color w:val="auto"/>
                <w:vertAlign w:val="superscript"/>
                <w:lang w:val="uk-UA" w:eastAsia="ar-SA"/>
              </w:rPr>
              <w:t>3</w:t>
            </w:r>
          </w:p>
        </w:tc>
        <w:tc>
          <w:tcPr>
            <w:tcW w:w="3274" w:type="dxa"/>
            <w:vAlign w:val="center"/>
          </w:tcPr>
          <w:p w:rsidR="00AD4832" w:rsidRPr="00AD4832" w:rsidRDefault="00AD4832" w:rsidP="00AD4832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AD4832">
              <w:rPr>
                <w:rFonts w:eastAsia="Calibri"/>
                <w:color w:val="auto"/>
                <w:lang w:val="uk-UA" w:eastAsia="ar-SA"/>
              </w:rPr>
              <w:t xml:space="preserve">148 </w:t>
            </w:r>
            <w:r w:rsidRPr="00AD4832">
              <w:rPr>
                <w:rFonts w:eastAsia="Calibri"/>
                <w:color w:val="auto"/>
                <w:lang w:eastAsia="ar-SA"/>
              </w:rPr>
              <w:t>87</w:t>
            </w:r>
            <w:r w:rsidRPr="00AD4832">
              <w:rPr>
                <w:rFonts w:eastAsia="Calibri"/>
                <w:color w:val="auto"/>
                <w:lang w:val="uk-UA" w:eastAsia="ar-SA"/>
              </w:rPr>
              <w:t>0</w:t>
            </w:r>
          </w:p>
        </w:tc>
      </w:tr>
    </w:tbl>
    <w:p w:rsidR="00AD4832" w:rsidRPr="00AD4832" w:rsidRDefault="00AD4832" w:rsidP="00AD4832">
      <w:pPr>
        <w:rPr>
          <w:rFonts w:eastAsia="Calibri"/>
          <w:color w:val="auto"/>
          <w:lang w:val="uk-UA" w:eastAsia="ar-SA"/>
        </w:rPr>
      </w:pPr>
    </w:p>
    <w:p w:rsidR="00AD4832" w:rsidRPr="00AD4832" w:rsidRDefault="00AD4832" w:rsidP="00AD4832">
      <w:pPr>
        <w:rPr>
          <w:rFonts w:eastAsia="Calibri"/>
          <w:color w:val="auto"/>
          <w:lang w:val="uk-UA"/>
        </w:rPr>
      </w:pPr>
      <w:r w:rsidRPr="00AD4832">
        <w:rPr>
          <w:rFonts w:eastAsia="Calibri"/>
          <w:color w:val="auto"/>
          <w:lang w:val="uk-UA" w:eastAsia="ar-SA"/>
        </w:rPr>
        <w:t>Плановий обсяг</w:t>
      </w:r>
      <w:r w:rsidRPr="00AD4832">
        <w:rPr>
          <w:rFonts w:eastAsia="Calibri"/>
          <w:color w:val="auto"/>
          <w:lang w:val="uk-UA"/>
        </w:rPr>
        <w:t xml:space="preserve"> закупівлі природного газу з розбивкою по місяцях: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6"/>
      </w:tblGrid>
      <w:tr w:rsidR="00AD4832" w:rsidRPr="00356C52" w:rsidTr="003B57D0">
        <w:trPr>
          <w:trHeight w:val="424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Розрахунковий період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 xml:space="preserve">Замовлений обсяг, </w:t>
            </w:r>
            <w:proofErr w:type="spellStart"/>
            <w:r w:rsidRPr="00AD4832">
              <w:rPr>
                <w:rFonts w:eastAsia="Calibri"/>
                <w:color w:val="auto"/>
                <w:lang w:val="uk-UA"/>
              </w:rPr>
              <w:t>тис.куб</w:t>
            </w:r>
            <w:proofErr w:type="spellEnd"/>
            <w:r w:rsidRPr="00AD4832">
              <w:rPr>
                <w:rFonts w:eastAsia="Calibri"/>
                <w:color w:val="auto"/>
                <w:lang w:val="uk-UA"/>
              </w:rPr>
              <w:t>. м.</w:t>
            </w:r>
          </w:p>
        </w:tc>
      </w:tr>
      <w:tr w:rsidR="00AD4832" w:rsidRPr="00AD4832" w:rsidTr="003B57D0">
        <w:trPr>
          <w:trHeight w:val="275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вересень 2024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</w:rPr>
            </w:pPr>
            <w:r w:rsidRPr="00AD4832">
              <w:rPr>
                <w:rFonts w:eastAsia="Calibri"/>
                <w:color w:val="auto"/>
              </w:rPr>
              <w:t>0</w:t>
            </w:r>
            <w:r w:rsidRPr="00AD4832">
              <w:rPr>
                <w:rFonts w:eastAsia="Calibri"/>
                <w:color w:val="auto"/>
                <w:lang w:val="uk-UA"/>
              </w:rPr>
              <w:t>,</w:t>
            </w:r>
            <w:r w:rsidRPr="00AD4832">
              <w:rPr>
                <w:rFonts w:eastAsia="Calibri"/>
                <w:color w:val="auto"/>
              </w:rPr>
              <w:t>190</w:t>
            </w:r>
          </w:p>
        </w:tc>
      </w:tr>
      <w:tr w:rsidR="00AD4832" w:rsidRPr="00AD4832" w:rsidTr="003B57D0">
        <w:trPr>
          <w:trHeight w:val="275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жовтень 2024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18,265</w:t>
            </w:r>
          </w:p>
        </w:tc>
      </w:tr>
      <w:tr w:rsidR="00AD4832" w:rsidRPr="00AD4832" w:rsidTr="003B57D0">
        <w:trPr>
          <w:trHeight w:val="277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листопад 2024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53,095</w:t>
            </w:r>
          </w:p>
        </w:tc>
      </w:tr>
      <w:tr w:rsidR="00AD4832" w:rsidRPr="00AD4832" w:rsidTr="003B57D0">
        <w:trPr>
          <w:trHeight w:val="275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грудень 2024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77,320</w:t>
            </w:r>
          </w:p>
        </w:tc>
      </w:tr>
      <w:tr w:rsidR="00AD4832" w:rsidRPr="00AD4832" w:rsidTr="003B57D0">
        <w:trPr>
          <w:trHeight w:val="407"/>
        </w:trPr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ВСЬОГО</w:t>
            </w:r>
          </w:p>
        </w:tc>
        <w:tc>
          <w:tcPr>
            <w:tcW w:w="4846" w:type="dxa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AD4832">
              <w:rPr>
                <w:rFonts w:eastAsia="Calibri"/>
                <w:color w:val="auto"/>
                <w:lang w:val="uk-UA"/>
              </w:rPr>
              <w:t>148,870</w:t>
            </w:r>
          </w:p>
        </w:tc>
      </w:tr>
    </w:tbl>
    <w:p w:rsidR="00AD4832" w:rsidRPr="00AD4832" w:rsidRDefault="00AD4832" w:rsidP="00AD4832">
      <w:pPr>
        <w:jc w:val="both"/>
        <w:rPr>
          <w:rFonts w:eastAsia="Calibri"/>
          <w:color w:val="auto"/>
          <w:lang w:val="uk-UA"/>
        </w:rPr>
      </w:pPr>
      <w:r w:rsidRPr="00AD4832">
        <w:rPr>
          <w:rFonts w:eastAsia="Calibri"/>
          <w:color w:val="auto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AD4832">
        <w:rPr>
          <w:rFonts w:eastAsia="Calibri"/>
          <w:color w:val="auto"/>
          <w:lang w:val="uk-UA" w:eastAsia="ar-SA"/>
        </w:rPr>
        <w:t xml:space="preserve"> та </w:t>
      </w:r>
      <w:r w:rsidRPr="00AD4832">
        <w:rPr>
          <w:rFonts w:eastAsia="Calibri"/>
          <w:color w:val="auto"/>
          <w:lang w:val="uk-UA"/>
        </w:rPr>
        <w:t>Кодексу газотранспортної системи:</w:t>
      </w:r>
    </w:p>
    <w:tbl>
      <w:tblPr>
        <w:tblW w:w="5305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25"/>
        <w:gridCol w:w="35"/>
        <w:gridCol w:w="5162"/>
      </w:tblGrid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D4832" w:rsidRPr="00AD4832" w:rsidRDefault="00AD4832" w:rsidP="00AD4832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b/>
                <w:color w:val="auto"/>
                <w:lang w:val="uk-UA"/>
              </w:rPr>
              <w:t>Найменування показника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D4832" w:rsidRPr="00AD4832" w:rsidRDefault="00AD4832" w:rsidP="00AD4832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b/>
                <w:color w:val="auto"/>
                <w:lang w:val="uk-UA"/>
              </w:rPr>
              <w:t>Норма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метану (C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1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90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lastRenderedPageBreak/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етану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(C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7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пропану (C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3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3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бутану (C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4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255C64">
              <w:rPr>
                <w:rFonts w:eastAsia="Calibri"/>
                <w:color w:val="auto"/>
              </w:rPr>
              <w:t xml:space="preserve"> </w:t>
            </w:r>
            <w:r w:rsidRPr="00AD4832">
              <w:rPr>
                <w:rFonts w:eastAsia="Calibri"/>
                <w:color w:val="auto"/>
                <w:lang w:val="ru-RU"/>
              </w:rPr>
              <w:t>пентану</w:t>
            </w:r>
            <w:r w:rsidRPr="00255C64">
              <w:rPr>
                <w:rFonts w:eastAsia="Calibri"/>
                <w:color w:val="auto"/>
              </w:rPr>
              <w:t xml:space="preserve"> </w:t>
            </w:r>
            <w:r w:rsidRPr="00AD4832">
              <w:rPr>
                <w:rFonts w:eastAsia="Calibri"/>
                <w:color w:val="auto"/>
                <w:lang w:val="ru-RU"/>
              </w:rPr>
              <w:t>та</w:t>
            </w:r>
            <w:r w:rsidRPr="00255C64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інших</w:t>
            </w:r>
            <w:proofErr w:type="spellEnd"/>
            <w:r w:rsidRPr="00255C64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більш</w:t>
            </w:r>
            <w:proofErr w:type="spellEnd"/>
            <w:r w:rsidRPr="00255C64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важких</w:t>
            </w:r>
            <w:proofErr w:type="spellEnd"/>
            <w:r w:rsidRPr="00255C64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вуглеводнів</w:t>
            </w:r>
            <w:proofErr w:type="spellEnd"/>
            <w:r w:rsidRPr="00255C64">
              <w:rPr>
                <w:rFonts w:eastAsia="Calibri"/>
                <w:color w:val="auto"/>
              </w:rPr>
              <w:t xml:space="preserve"> (C</w:t>
            </w:r>
            <w:r w:rsidRPr="00255C64">
              <w:rPr>
                <w:rFonts w:eastAsia="Calibri"/>
                <w:b/>
                <w:bCs/>
                <w:color w:val="auto"/>
                <w:vertAlign w:val="subscript"/>
              </w:rPr>
              <w:t>5</w:t>
            </w:r>
            <w:r w:rsidRPr="00255C64">
              <w:rPr>
                <w:rFonts w:eastAsia="Calibri"/>
                <w:color w:val="auto"/>
              </w:rPr>
              <w:t xml:space="preserve">+), </w:t>
            </w:r>
            <w:r w:rsidRPr="00AD4832">
              <w:rPr>
                <w:rFonts w:eastAsia="Calibri"/>
                <w:color w:val="auto"/>
                <w:lang w:val="ru-RU"/>
              </w:rPr>
              <w:t>мол</w:t>
            </w:r>
            <w:r w:rsidRPr="00255C64">
              <w:rPr>
                <w:rFonts w:eastAsia="Calibri"/>
                <w:color w:val="auto"/>
              </w:rPr>
              <w:t xml:space="preserve">. </w:t>
            </w:r>
            <w:r w:rsidRPr="00AD4832">
              <w:rPr>
                <w:rFonts w:eastAsia="Calibri"/>
                <w:color w:val="auto"/>
                <w:lang w:val="ru-RU"/>
              </w:rPr>
              <w:t>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1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азоту (N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5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вуглецю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(CO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AD4832" w:rsidRPr="00AD4832" w:rsidTr="003B57D0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кисню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(O</w:t>
            </w:r>
            <w:r w:rsidRPr="00AD4832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AD4832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0,2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bookmarkStart w:id="2" w:name="n207"/>
            <w:bookmarkEnd w:id="2"/>
            <w:proofErr w:type="spellStart"/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36,20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(10,06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38,30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(10,64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(25 °C/0 °C)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38,85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(10,80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41,10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(11,42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нижча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32,66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(09,07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34,54 МДж/м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 xml:space="preserve"> (09,59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кВт</w:t>
            </w:r>
            <w:r w:rsidRPr="00AD4832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AD4832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AD4832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вологою</w:t>
            </w:r>
            <w:proofErr w:type="spellEnd"/>
            <w:proofErr w:type="gramStart"/>
            <w:r w:rsidRPr="00AD4832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</w:tr>
      <w:tr w:rsidR="00AD4832" w:rsidRPr="00AD483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при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абсолютному</w:t>
            </w:r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тиску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газу 3,92 МПа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мінус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8 (-8)</w:t>
            </w:r>
          </w:p>
        </w:tc>
      </w:tr>
      <w:tr w:rsidR="00AD4832" w:rsidRPr="00356C52" w:rsidTr="003B57D0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вуглеводнями</w:t>
            </w:r>
            <w:proofErr w:type="spellEnd"/>
          </w:p>
        </w:tc>
      </w:tr>
      <w:tr w:rsidR="00AD4832" w:rsidRPr="00AD483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 xml:space="preserve">при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температурі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газу не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нижче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°С</w:t>
            </w:r>
            <w:proofErr w:type="gramEnd"/>
          </w:p>
        </w:tc>
      </w:tr>
      <w:tr w:rsidR="00AD4832" w:rsidRPr="00AD4832" w:rsidTr="003B57D0">
        <w:tblPrEx>
          <w:shd w:val="clear" w:color="auto" w:fill="auto"/>
        </w:tblPrEx>
        <w:trPr>
          <w:trHeight w:val="220"/>
        </w:trPr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механічних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домішок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: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відсутні</w:t>
            </w:r>
            <w:proofErr w:type="spellEnd"/>
          </w:p>
        </w:tc>
      </w:tr>
      <w:tr w:rsidR="00AD4832" w:rsidRPr="00AD483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сірководню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, г/м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0,006</w:t>
            </w:r>
          </w:p>
        </w:tc>
      </w:tr>
      <w:tr w:rsidR="00AD4832" w:rsidRPr="00AD4832" w:rsidTr="003B57D0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AD4832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меркаптанової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AD4832">
              <w:rPr>
                <w:rFonts w:eastAsia="Calibri"/>
                <w:color w:val="auto"/>
                <w:lang w:val="ru-RU"/>
              </w:rPr>
              <w:t>сірки</w:t>
            </w:r>
            <w:proofErr w:type="spellEnd"/>
            <w:r w:rsidRPr="00AD4832">
              <w:rPr>
                <w:rFonts w:eastAsia="Calibri"/>
                <w:color w:val="auto"/>
                <w:lang w:val="ru-RU"/>
              </w:rPr>
              <w:t>, г/м</w:t>
            </w:r>
            <w:r w:rsidRPr="00AD4832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D4832" w:rsidRPr="00AD4832" w:rsidRDefault="00AD4832" w:rsidP="00AD4832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AD4832">
              <w:rPr>
                <w:rFonts w:eastAsia="Calibri"/>
                <w:color w:val="auto"/>
                <w:lang w:val="ru-RU"/>
              </w:rPr>
              <w:t>максимум 0,02</w:t>
            </w:r>
          </w:p>
        </w:tc>
      </w:tr>
    </w:tbl>
    <w:p w:rsidR="00AD1EA7" w:rsidRPr="00BA3977" w:rsidRDefault="00AD1EA7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BA3977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3406B3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lang w:val="uk-U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економічного розвитку та інвестицій                                        </w:t>
      </w:r>
      <w:r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</w:t>
      </w: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                                       Мар’яна ЖІНЧИН</w:t>
      </w:r>
    </w:p>
    <w:sectPr w:rsidR="003406B3" w:rsidRPr="00670C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5466"/>
    <w:rsid w:val="000563C2"/>
    <w:rsid w:val="0011180E"/>
    <w:rsid w:val="001271EA"/>
    <w:rsid w:val="002157D0"/>
    <w:rsid w:val="002326B5"/>
    <w:rsid w:val="00255C64"/>
    <w:rsid w:val="00281033"/>
    <w:rsid w:val="003406B3"/>
    <w:rsid w:val="00356C52"/>
    <w:rsid w:val="00515C85"/>
    <w:rsid w:val="00517772"/>
    <w:rsid w:val="00670C56"/>
    <w:rsid w:val="00676EC0"/>
    <w:rsid w:val="00681BC8"/>
    <w:rsid w:val="006A5270"/>
    <w:rsid w:val="00736F3D"/>
    <w:rsid w:val="007A7611"/>
    <w:rsid w:val="00824BB8"/>
    <w:rsid w:val="00A16BC1"/>
    <w:rsid w:val="00A36D4B"/>
    <w:rsid w:val="00A66A2F"/>
    <w:rsid w:val="00AA53F4"/>
    <w:rsid w:val="00AB76F0"/>
    <w:rsid w:val="00AD1EA7"/>
    <w:rsid w:val="00AD4832"/>
    <w:rsid w:val="00B1532E"/>
    <w:rsid w:val="00B61390"/>
    <w:rsid w:val="00B65F27"/>
    <w:rsid w:val="00BA3977"/>
    <w:rsid w:val="00CF54D1"/>
    <w:rsid w:val="00D35C73"/>
    <w:rsid w:val="00DC5FC5"/>
    <w:rsid w:val="00DD5C66"/>
    <w:rsid w:val="00E177EC"/>
    <w:rsid w:val="00F8111C"/>
    <w:rsid w:val="00FA06F2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5177-D8B4-4360-8D29-8EE6018D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2024-09-10T12:41:00Z</cp:lastPrinted>
  <dcterms:created xsi:type="dcterms:W3CDTF">2022-11-07T13:41:00Z</dcterms:created>
  <dcterms:modified xsi:type="dcterms:W3CDTF">2024-09-10T12:41:00Z</dcterms:modified>
</cp:coreProperties>
</file>